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2576"/>
        <w:gridCol w:w="4254"/>
      </w:tblGrid>
      <w:tr w:rsidR="00EB413E" w:rsidRPr="00146514" w14:paraId="473DA0FF" w14:textId="77777777" w:rsidTr="00EB413E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8C10D" w14:textId="77777777" w:rsidR="00EB413E" w:rsidRPr="00EB413E" w:rsidRDefault="00EB413E" w:rsidP="00EB413E">
            <w:pPr>
              <w:pStyle w:val="Heading3"/>
              <w:rPr>
                <w:snapToGrid w:val="0"/>
                <w:sz w:val="36"/>
                <w:szCs w:val="28"/>
              </w:rPr>
            </w:pPr>
            <w:bookmarkStart w:id="0" w:name="_GoBack"/>
            <w:bookmarkEnd w:id="0"/>
            <w:r w:rsidRPr="00EB413E">
              <w:rPr>
                <w:snapToGrid w:val="0"/>
                <w:sz w:val="36"/>
                <w:szCs w:val="28"/>
              </w:rPr>
              <w:t xml:space="preserve">Whistleblower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2B6E8" w14:textId="77777777"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  <w:szCs w:val="24"/>
              </w:rPr>
            </w:pPr>
            <w:r w:rsidRPr="0022368A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E269" w14:textId="6B029EA6" w:rsidR="00EB413E" w:rsidRPr="0022368A" w:rsidRDefault="008B58F7" w:rsidP="00553FF2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June 2019</w:t>
            </w:r>
          </w:p>
        </w:tc>
      </w:tr>
      <w:tr w:rsidR="005643C2" w:rsidRPr="00146514" w14:paraId="0B571DA3" w14:textId="77777777" w:rsidTr="00EB413E">
        <w:trPr>
          <w:cantSplit/>
          <w:trHeight w:val="383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64216" w14:textId="77777777" w:rsidR="005643C2" w:rsidRPr="00EB413E" w:rsidRDefault="005643C2" w:rsidP="00EB413E">
            <w:pPr>
              <w:pStyle w:val="Heading3"/>
              <w:rPr>
                <w:snapToGrid w:val="0"/>
                <w:sz w:val="3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20B99" w14:textId="77777777" w:rsidR="005643C2" w:rsidRPr="0022368A" w:rsidRDefault="005643C2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3E2F8" w14:textId="2FF81396" w:rsidR="005643C2" w:rsidRPr="0022368A" w:rsidDel="00D21B95" w:rsidRDefault="00946C64" w:rsidP="00481F5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B66267">
              <w:rPr>
                <w:rFonts w:ascii="Arial" w:hAnsi="Arial" w:cs="Arial"/>
              </w:rPr>
              <w:t>20</w:t>
            </w:r>
          </w:p>
        </w:tc>
      </w:tr>
      <w:tr w:rsidR="00EB413E" w:rsidRPr="00146514" w14:paraId="05EA251E" w14:textId="77777777" w:rsidTr="00EB413E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8AC04" w14:textId="77777777" w:rsidR="00EB413E" w:rsidRPr="00EB413E" w:rsidRDefault="00EB413E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BD8F6" w14:textId="77777777"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4874" w14:textId="77777777"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Island Health Care</w:t>
            </w:r>
          </w:p>
          <w:p w14:paraId="725B8A57" w14:textId="77777777"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Island Hospice</w:t>
            </w:r>
          </w:p>
          <w:p w14:paraId="3CD723B7" w14:textId="77777777"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Independent Life at Home</w:t>
            </w:r>
          </w:p>
          <w:p w14:paraId="248203EA" w14:textId="77777777"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THA Services</w:t>
            </w:r>
          </w:p>
          <w:p w14:paraId="2ADCF915" w14:textId="77777777" w:rsidR="00EB413E" w:rsidRPr="00D0452D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RightHealth</w:t>
            </w:r>
            <w:r w:rsidRPr="0022368A">
              <w:rPr>
                <w:rFonts w:ascii="Arial" w:hAnsi="Arial" w:cs="Arial"/>
                <w:vertAlign w:val="superscript"/>
              </w:rPr>
              <w:t>®</w:t>
            </w:r>
          </w:p>
          <w:p w14:paraId="7A4C62A2" w14:textId="77777777" w:rsidR="00D0452D" w:rsidRPr="00D0452D" w:rsidRDefault="00D0452D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1D4552">
              <w:rPr>
                <w:rFonts w:ascii="Arial" w:hAnsi="Arial" w:cs="Arial"/>
              </w:rPr>
              <w:t>Palliation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1D4552">
              <w:rPr>
                <w:rFonts w:ascii="Arial" w:hAnsi="Arial" w:cs="Arial"/>
              </w:rPr>
              <w:t>Choices</w:t>
            </w:r>
          </w:p>
          <w:p w14:paraId="5F70D00B" w14:textId="5B143AA8" w:rsidR="00D0452D" w:rsidRPr="0022368A" w:rsidRDefault="00D0452D" w:rsidP="002A5188">
            <w:pPr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EB413E" w:rsidRPr="00146514" w14:paraId="290677DA" w14:textId="77777777" w:rsidTr="00EB413E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1B1" w14:textId="77777777" w:rsidR="00EB413E" w:rsidRPr="00EB413E" w:rsidRDefault="00EB413E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72D9" w14:textId="77777777"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9B45F" w14:textId="77777777" w:rsidR="00EB413E" w:rsidRPr="0022368A" w:rsidRDefault="00EB413E" w:rsidP="0022368A">
            <w:p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Administrative Policies &amp; Procedures</w:t>
            </w:r>
          </w:p>
          <w:p w14:paraId="70F95A34" w14:textId="77777777" w:rsidR="00EB413E" w:rsidRPr="0022368A" w:rsidRDefault="00EB413E" w:rsidP="0022368A">
            <w:pPr>
              <w:spacing w:before="20" w:after="20"/>
              <w:ind w:left="235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Leadership</w:t>
            </w:r>
          </w:p>
        </w:tc>
      </w:tr>
    </w:tbl>
    <w:p w14:paraId="78309C84" w14:textId="77777777" w:rsidR="000A1AA5" w:rsidRPr="0022368A" w:rsidRDefault="000A1AA5">
      <w:pPr>
        <w:ind w:right="-720"/>
        <w:rPr>
          <w:rFonts w:ascii="Arial" w:hAnsi="Arial" w:cs="Arial"/>
          <w:szCs w:val="24"/>
        </w:rPr>
      </w:pPr>
    </w:p>
    <w:p w14:paraId="7BF1683D" w14:textId="77777777" w:rsidR="000A1AA5" w:rsidRPr="0022368A" w:rsidRDefault="000A1AA5" w:rsidP="009F58DB">
      <w:pPr>
        <w:ind w:right="18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szCs w:val="24"/>
          <w:u w:val="single"/>
        </w:rPr>
        <w:t xml:space="preserve">PURPOSE </w:t>
      </w:r>
    </w:p>
    <w:p w14:paraId="7738E8C3" w14:textId="77777777" w:rsidR="000A1AA5" w:rsidRPr="0022368A" w:rsidRDefault="000A1AA5" w:rsidP="009F58DB">
      <w:pPr>
        <w:ind w:right="18"/>
        <w:jc w:val="both"/>
        <w:rPr>
          <w:rFonts w:ascii="Arial" w:hAnsi="Arial" w:cs="Arial"/>
          <w:szCs w:val="24"/>
        </w:rPr>
      </w:pPr>
    </w:p>
    <w:p w14:paraId="5D4683BD" w14:textId="77777777"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THA Group’s Value and Ethics</w:t>
      </w:r>
      <w:r w:rsidR="009647BE" w:rsidRPr="0022368A">
        <w:rPr>
          <w:rFonts w:ascii="Arial" w:hAnsi="Arial" w:cs="Arial"/>
          <w:szCs w:val="24"/>
        </w:rPr>
        <w:t xml:space="preserve"> Compliance</w:t>
      </w:r>
      <w:r w:rsidRPr="0022368A">
        <w:rPr>
          <w:rFonts w:ascii="Arial" w:hAnsi="Arial" w:cs="Arial"/>
          <w:szCs w:val="24"/>
        </w:rPr>
        <w:t xml:space="preserve"> Policy requires </w:t>
      </w:r>
      <w:r w:rsidR="001D4552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, officers and employees to observe </w:t>
      </w:r>
      <w:r w:rsidR="00207005" w:rsidRPr="0022368A">
        <w:rPr>
          <w:rFonts w:ascii="Arial" w:hAnsi="Arial" w:cs="Arial"/>
          <w:szCs w:val="24"/>
        </w:rPr>
        <w:t xml:space="preserve">the </w:t>
      </w:r>
      <w:r w:rsidRPr="0022368A">
        <w:rPr>
          <w:rFonts w:ascii="Arial" w:hAnsi="Arial" w:cs="Arial"/>
          <w:szCs w:val="24"/>
        </w:rPr>
        <w:t>high</w:t>
      </w:r>
      <w:r w:rsidR="00207005" w:rsidRPr="0022368A">
        <w:rPr>
          <w:rFonts w:ascii="Arial" w:hAnsi="Arial" w:cs="Arial"/>
          <w:szCs w:val="24"/>
        </w:rPr>
        <w:t>est</w:t>
      </w:r>
      <w:r w:rsidRPr="0022368A">
        <w:rPr>
          <w:rFonts w:ascii="Arial" w:hAnsi="Arial" w:cs="Arial"/>
          <w:szCs w:val="24"/>
        </w:rPr>
        <w:t xml:space="preserve"> standards of business and personal ethics in the conduct of their duties and responsibilities. As employees and representatives of THA Group, the practice </w:t>
      </w:r>
      <w:r w:rsidR="00207005" w:rsidRPr="0022368A">
        <w:rPr>
          <w:rFonts w:ascii="Arial" w:hAnsi="Arial" w:cs="Arial"/>
          <w:szCs w:val="24"/>
        </w:rPr>
        <w:t xml:space="preserve">of </w:t>
      </w:r>
      <w:r w:rsidRPr="0022368A">
        <w:rPr>
          <w:rFonts w:ascii="Arial" w:hAnsi="Arial" w:cs="Arial"/>
          <w:szCs w:val="24"/>
        </w:rPr>
        <w:t xml:space="preserve">honesty </w:t>
      </w:r>
      <w:r w:rsidR="00207005" w:rsidRPr="0022368A">
        <w:rPr>
          <w:rFonts w:ascii="Arial" w:hAnsi="Arial" w:cs="Arial"/>
          <w:szCs w:val="24"/>
        </w:rPr>
        <w:t xml:space="preserve">and integrity guides all members of the </w:t>
      </w:r>
      <w:r w:rsidR="00DB1242" w:rsidRPr="0022368A">
        <w:rPr>
          <w:rFonts w:ascii="Arial" w:hAnsi="Arial" w:cs="Arial"/>
          <w:szCs w:val="24"/>
        </w:rPr>
        <w:t>organization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in fulfilling responsibilities and comply</w:t>
      </w:r>
      <w:r w:rsidR="00207005" w:rsidRPr="0022368A">
        <w:rPr>
          <w:rFonts w:ascii="Arial" w:hAnsi="Arial" w:cs="Arial"/>
          <w:szCs w:val="24"/>
        </w:rPr>
        <w:t>ing</w:t>
      </w:r>
      <w:r w:rsidRPr="0022368A">
        <w:rPr>
          <w:rFonts w:ascii="Arial" w:hAnsi="Arial" w:cs="Arial"/>
          <w:szCs w:val="24"/>
        </w:rPr>
        <w:t xml:space="preserve"> with all applicable laws and regulations</w:t>
      </w:r>
      <w:r w:rsidR="008F5C72">
        <w:rPr>
          <w:rFonts w:ascii="Arial" w:hAnsi="Arial" w:cs="Arial"/>
          <w:szCs w:val="24"/>
        </w:rPr>
        <w:t>.</w:t>
      </w:r>
    </w:p>
    <w:p w14:paraId="7538D016" w14:textId="77777777" w:rsidR="00146514" w:rsidRPr="0022368A" w:rsidRDefault="00146514" w:rsidP="009F58DB">
      <w:pPr>
        <w:pStyle w:val="Heading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1F93C173" w14:textId="77777777" w:rsidR="003C48AF" w:rsidRPr="0022368A" w:rsidRDefault="003C48AF" w:rsidP="009F58DB">
      <w:pPr>
        <w:pStyle w:val="Heading4"/>
        <w:jc w:val="both"/>
        <w:rPr>
          <w:rFonts w:ascii="Arial" w:hAnsi="Arial" w:cs="Arial"/>
          <w:sz w:val="24"/>
          <w:szCs w:val="24"/>
        </w:rPr>
      </w:pPr>
      <w:r w:rsidRPr="0022368A">
        <w:rPr>
          <w:rFonts w:ascii="Arial" w:hAnsi="Arial" w:cs="Arial"/>
          <w:sz w:val="24"/>
          <w:szCs w:val="24"/>
        </w:rPr>
        <w:t xml:space="preserve">POLICY </w:t>
      </w:r>
    </w:p>
    <w:p w14:paraId="02710A29" w14:textId="77777777" w:rsidR="003C48AF" w:rsidRPr="0022368A" w:rsidRDefault="003C48AF" w:rsidP="009F58DB">
      <w:pPr>
        <w:ind w:right="-720"/>
        <w:jc w:val="both"/>
        <w:rPr>
          <w:rFonts w:ascii="Arial" w:hAnsi="Arial" w:cs="Arial"/>
          <w:szCs w:val="24"/>
        </w:rPr>
      </w:pPr>
    </w:p>
    <w:p w14:paraId="459F6EE8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Reporting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Responsibility</w:t>
      </w:r>
    </w:p>
    <w:p w14:paraId="106E93FA" w14:textId="77777777" w:rsidR="00146514" w:rsidRPr="0022368A" w:rsidRDefault="00146514" w:rsidP="009F58DB">
      <w:pPr>
        <w:autoSpaceDE w:val="0"/>
        <w:autoSpaceDN w:val="0"/>
        <w:adjustRightInd w:val="0"/>
        <w:ind w:left="1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It is the responsibility of all </w:t>
      </w:r>
      <w:r w:rsidR="001D4552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, officers and employees to comply with the Value and Ethics </w:t>
      </w:r>
      <w:r w:rsidR="009647BE" w:rsidRPr="0022368A">
        <w:rPr>
          <w:rFonts w:ascii="Arial" w:hAnsi="Arial" w:cs="Arial"/>
          <w:szCs w:val="24"/>
        </w:rPr>
        <w:t xml:space="preserve">Compliance </w:t>
      </w:r>
      <w:r w:rsidRPr="0022368A">
        <w:rPr>
          <w:rFonts w:ascii="Arial" w:hAnsi="Arial" w:cs="Arial"/>
          <w:szCs w:val="24"/>
        </w:rPr>
        <w:t>Policy and to report violations or suspected violations in accordance with the Whistleblower Policy.</w:t>
      </w:r>
    </w:p>
    <w:p w14:paraId="7D2F9231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250860BB" w14:textId="77777777"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No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Retaliation</w:t>
      </w:r>
    </w:p>
    <w:p w14:paraId="4D73B462" w14:textId="69366110"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No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>, officer or employee who reports a violation of the Value and Ethics Policy shall suffer harassment, retaliation or adverse employment consequence</w:t>
      </w:r>
      <w:r w:rsidR="00D0452D">
        <w:rPr>
          <w:rFonts w:ascii="Arial" w:hAnsi="Arial" w:cs="Arial"/>
          <w:szCs w:val="24"/>
        </w:rPr>
        <w:t>s</w:t>
      </w:r>
      <w:r w:rsidRPr="0022368A">
        <w:rPr>
          <w:rFonts w:ascii="Arial" w:hAnsi="Arial" w:cs="Arial"/>
          <w:szCs w:val="24"/>
        </w:rPr>
        <w:t xml:space="preserve">. An employee who retaliates against someone who has reported a violation is subject to </w:t>
      </w:r>
      <w:r w:rsidR="00D0452D">
        <w:rPr>
          <w:rFonts w:ascii="Arial" w:hAnsi="Arial" w:cs="Arial"/>
          <w:szCs w:val="24"/>
        </w:rPr>
        <w:t>corrective action</w:t>
      </w:r>
      <w:r w:rsidRPr="0022368A">
        <w:rPr>
          <w:rFonts w:ascii="Arial" w:hAnsi="Arial" w:cs="Arial"/>
          <w:szCs w:val="24"/>
        </w:rPr>
        <w:t xml:space="preserve"> up to and including </w:t>
      </w:r>
      <w:r w:rsidR="00D0452D">
        <w:rPr>
          <w:rFonts w:ascii="Arial" w:hAnsi="Arial" w:cs="Arial"/>
          <w:szCs w:val="24"/>
        </w:rPr>
        <w:t>separation</w:t>
      </w:r>
      <w:r w:rsidRPr="0022368A">
        <w:rPr>
          <w:rFonts w:ascii="Arial" w:hAnsi="Arial" w:cs="Arial"/>
          <w:szCs w:val="24"/>
        </w:rPr>
        <w:t xml:space="preserve"> of employment. This Whistleblower Policy is intended to encourage and enable employees and others to raise serious concerns within THA Group prior to seeking resolution outside THA Group</w:t>
      </w:r>
      <w:r w:rsidR="00207005" w:rsidRPr="0022368A">
        <w:rPr>
          <w:rFonts w:ascii="Arial" w:hAnsi="Arial" w:cs="Arial"/>
          <w:szCs w:val="24"/>
        </w:rPr>
        <w:t>.</w:t>
      </w:r>
    </w:p>
    <w:p w14:paraId="6ADBF442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13366DF5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Reporting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Violations</w:t>
      </w:r>
    </w:p>
    <w:p w14:paraId="2A250BB9" w14:textId="77777777"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The Value and Ethics Policy addresses THA Group’s open </w:t>
      </w:r>
      <w:r w:rsidR="00207005" w:rsidRPr="0022368A">
        <w:rPr>
          <w:rFonts w:ascii="Arial" w:hAnsi="Arial" w:cs="Arial"/>
          <w:szCs w:val="24"/>
        </w:rPr>
        <w:t>culture</w:t>
      </w:r>
      <w:r w:rsidRPr="0022368A">
        <w:rPr>
          <w:rFonts w:ascii="Arial" w:hAnsi="Arial" w:cs="Arial"/>
          <w:szCs w:val="24"/>
        </w:rPr>
        <w:t xml:space="preserve"> and suggests that employees share their questions, concerns, suggestions or complaints with someone who can address them </w:t>
      </w:r>
      <w:r w:rsidR="00D0452D">
        <w:rPr>
          <w:rFonts w:ascii="Arial" w:hAnsi="Arial" w:cs="Arial"/>
          <w:szCs w:val="24"/>
        </w:rPr>
        <w:t>appropriately</w:t>
      </w:r>
      <w:r w:rsidRPr="0022368A">
        <w:rPr>
          <w:rFonts w:ascii="Arial" w:hAnsi="Arial" w:cs="Arial"/>
          <w:szCs w:val="24"/>
        </w:rPr>
        <w:t xml:space="preserve">. In most cases, an employee's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 xml:space="preserve"> is in the best position to address an a</w:t>
      </w:r>
      <w:r w:rsidR="00C22072" w:rsidRPr="0022368A">
        <w:rPr>
          <w:rFonts w:ascii="Arial" w:hAnsi="Arial" w:cs="Arial"/>
          <w:szCs w:val="24"/>
        </w:rPr>
        <w:t xml:space="preserve">rea of concern. However, if </w:t>
      </w:r>
      <w:r w:rsidR="00207005" w:rsidRPr="0022368A">
        <w:rPr>
          <w:rFonts w:ascii="Arial" w:hAnsi="Arial" w:cs="Arial"/>
          <w:szCs w:val="24"/>
        </w:rPr>
        <w:t xml:space="preserve">the </w:t>
      </w:r>
      <w:r w:rsidR="00C22072" w:rsidRPr="0022368A">
        <w:rPr>
          <w:rFonts w:ascii="Arial" w:hAnsi="Arial" w:cs="Arial"/>
          <w:szCs w:val="24"/>
        </w:rPr>
        <w:t>employee is</w:t>
      </w:r>
      <w:r w:rsidRPr="0022368A">
        <w:rPr>
          <w:rFonts w:ascii="Arial" w:hAnsi="Arial" w:cs="Arial"/>
          <w:szCs w:val="24"/>
        </w:rPr>
        <w:t xml:space="preserve"> not comfortable speaking with their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 xml:space="preserve"> or ar</w:t>
      </w:r>
      <w:r w:rsidR="00C22072" w:rsidRPr="0022368A">
        <w:rPr>
          <w:rFonts w:ascii="Arial" w:hAnsi="Arial" w:cs="Arial"/>
          <w:szCs w:val="24"/>
        </w:rPr>
        <w:t xml:space="preserve">e not satisfied with the </w:t>
      </w:r>
      <w:r w:rsidR="00D0452D">
        <w:rPr>
          <w:rFonts w:ascii="Arial" w:hAnsi="Arial" w:cs="Arial"/>
          <w:szCs w:val="24"/>
        </w:rPr>
        <w:t>leader’s</w:t>
      </w:r>
      <w:r w:rsidR="00C22072" w:rsidRPr="0022368A">
        <w:rPr>
          <w:rFonts w:ascii="Arial" w:hAnsi="Arial" w:cs="Arial"/>
          <w:szCs w:val="24"/>
        </w:rPr>
        <w:t xml:space="preserve"> response, they</w:t>
      </w:r>
      <w:r w:rsidRPr="0022368A">
        <w:rPr>
          <w:rFonts w:ascii="Arial" w:hAnsi="Arial" w:cs="Arial"/>
          <w:szCs w:val="24"/>
        </w:rPr>
        <w:t xml:space="preserve"> are encouraged to speak with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someone i</w:t>
      </w:r>
      <w:r w:rsidR="00C22072" w:rsidRPr="0022368A">
        <w:rPr>
          <w:rFonts w:ascii="Arial" w:hAnsi="Arial" w:cs="Arial"/>
          <w:szCs w:val="24"/>
        </w:rPr>
        <w:t xml:space="preserve">n Talent </w:t>
      </w:r>
      <w:r w:rsidR="00207005" w:rsidRPr="0022368A">
        <w:rPr>
          <w:rFonts w:ascii="Arial" w:hAnsi="Arial" w:cs="Arial"/>
          <w:szCs w:val="24"/>
        </w:rPr>
        <w:t>Management</w:t>
      </w:r>
      <w:r w:rsidRPr="0022368A">
        <w:rPr>
          <w:rFonts w:ascii="Arial" w:hAnsi="Arial" w:cs="Arial"/>
          <w:szCs w:val="24"/>
        </w:rPr>
        <w:t xml:space="preserve"> or anyone in </w:t>
      </w:r>
      <w:r w:rsidR="00D0452D">
        <w:rPr>
          <w:rFonts w:ascii="Arial" w:hAnsi="Arial" w:cs="Arial"/>
          <w:szCs w:val="24"/>
        </w:rPr>
        <w:t>leadership</w:t>
      </w:r>
      <w:r w:rsidR="00C22072" w:rsidRPr="0022368A">
        <w:rPr>
          <w:rFonts w:ascii="Arial" w:hAnsi="Arial" w:cs="Arial"/>
          <w:szCs w:val="24"/>
        </w:rPr>
        <w:t>.</w:t>
      </w:r>
      <w:r w:rsidRPr="0022368A">
        <w:rPr>
          <w:rFonts w:ascii="Arial" w:hAnsi="Arial" w:cs="Arial"/>
          <w:szCs w:val="24"/>
        </w:rPr>
        <w:t xml:space="preserve"> </w:t>
      </w:r>
      <w:r w:rsidR="00D0452D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 are required to report suspected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violations of the </w:t>
      </w:r>
      <w:r w:rsidR="00C22072" w:rsidRPr="0022368A">
        <w:rPr>
          <w:rFonts w:ascii="Arial" w:hAnsi="Arial" w:cs="Arial"/>
          <w:szCs w:val="24"/>
        </w:rPr>
        <w:t>Value and Ethics Policy</w:t>
      </w:r>
      <w:r w:rsidRPr="0022368A">
        <w:rPr>
          <w:rFonts w:ascii="Arial" w:hAnsi="Arial" w:cs="Arial"/>
          <w:szCs w:val="24"/>
        </w:rPr>
        <w:t xml:space="preserve"> to </w:t>
      </w:r>
      <w:r w:rsidR="00C22072" w:rsidRPr="0022368A">
        <w:rPr>
          <w:rFonts w:ascii="Arial" w:hAnsi="Arial" w:cs="Arial"/>
          <w:szCs w:val="24"/>
        </w:rPr>
        <w:t xml:space="preserve">THA Group’s </w:t>
      </w:r>
      <w:r w:rsidRPr="0022368A">
        <w:rPr>
          <w:rFonts w:ascii="Arial" w:hAnsi="Arial" w:cs="Arial"/>
          <w:szCs w:val="24"/>
        </w:rPr>
        <w:t>Compliance Officer, who has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specific and exclusive responsibility to investigate all reported violations. For suspected</w:t>
      </w:r>
      <w:r w:rsidR="00C22072" w:rsidRPr="0022368A">
        <w:rPr>
          <w:rFonts w:ascii="Arial" w:hAnsi="Arial" w:cs="Arial"/>
          <w:szCs w:val="24"/>
        </w:rPr>
        <w:t xml:space="preserve"> fraud, or dissatisfaction </w:t>
      </w:r>
      <w:r w:rsidRPr="0022368A">
        <w:rPr>
          <w:rFonts w:ascii="Arial" w:hAnsi="Arial" w:cs="Arial"/>
          <w:szCs w:val="24"/>
        </w:rPr>
        <w:t xml:space="preserve">with following </w:t>
      </w:r>
      <w:r w:rsidR="00C22072" w:rsidRPr="0022368A">
        <w:rPr>
          <w:rFonts w:ascii="Arial" w:hAnsi="Arial" w:cs="Arial"/>
          <w:szCs w:val="24"/>
        </w:rPr>
        <w:t xml:space="preserve">THA Group’s </w:t>
      </w:r>
      <w:r w:rsidRPr="0022368A">
        <w:rPr>
          <w:rFonts w:ascii="Arial" w:hAnsi="Arial" w:cs="Arial"/>
          <w:szCs w:val="24"/>
        </w:rPr>
        <w:t xml:space="preserve">open </w:t>
      </w:r>
      <w:r w:rsidR="00207005" w:rsidRPr="0022368A">
        <w:rPr>
          <w:rFonts w:ascii="Arial" w:hAnsi="Arial" w:cs="Arial"/>
          <w:szCs w:val="24"/>
        </w:rPr>
        <w:t>culture</w:t>
      </w:r>
      <w:r w:rsidRPr="0022368A">
        <w:rPr>
          <w:rFonts w:ascii="Arial" w:hAnsi="Arial" w:cs="Arial"/>
          <w:szCs w:val="24"/>
        </w:rPr>
        <w:t>,</w:t>
      </w:r>
      <w:r w:rsidR="00C22072" w:rsidRPr="0022368A">
        <w:rPr>
          <w:rFonts w:ascii="Arial" w:hAnsi="Arial" w:cs="Arial"/>
          <w:szCs w:val="24"/>
        </w:rPr>
        <w:t xml:space="preserve"> individuals should contact THA Group’s</w:t>
      </w:r>
      <w:r w:rsidRPr="0022368A">
        <w:rPr>
          <w:rFonts w:ascii="Arial" w:hAnsi="Arial" w:cs="Arial"/>
          <w:szCs w:val="24"/>
        </w:rPr>
        <w:t xml:space="preserve"> Compliance Officer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directly.</w:t>
      </w:r>
    </w:p>
    <w:p w14:paraId="6A3F8921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227C976C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20C9DB4F" w14:textId="77777777" w:rsidR="00133772" w:rsidRDefault="00133772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7AEF2DB4" w14:textId="77777777"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lastRenderedPageBreak/>
        <w:t>Compliance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Officer</w:t>
      </w:r>
    </w:p>
    <w:p w14:paraId="44B94196" w14:textId="77777777" w:rsidR="00146514" w:rsidRPr="0022368A" w:rsidRDefault="00C22072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THA Group’s </w:t>
      </w:r>
      <w:r w:rsidR="00A67A69" w:rsidRPr="0022368A">
        <w:rPr>
          <w:rFonts w:ascii="Arial" w:hAnsi="Arial" w:cs="Arial"/>
          <w:szCs w:val="24"/>
        </w:rPr>
        <w:t xml:space="preserve">designated </w:t>
      </w:r>
      <w:r w:rsidR="00207005" w:rsidRPr="0022368A">
        <w:rPr>
          <w:rFonts w:ascii="Arial" w:hAnsi="Arial" w:cs="Arial"/>
          <w:szCs w:val="24"/>
        </w:rPr>
        <w:t xml:space="preserve">Compliance </w:t>
      </w:r>
      <w:r w:rsidR="00146514" w:rsidRPr="0022368A">
        <w:rPr>
          <w:rFonts w:ascii="Arial" w:hAnsi="Arial" w:cs="Arial"/>
          <w:szCs w:val="24"/>
        </w:rPr>
        <w:t>Officer</w:t>
      </w:r>
      <w:r w:rsidR="00D0452D">
        <w:rPr>
          <w:rFonts w:ascii="Arial" w:hAnsi="Arial" w:cs="Arial"/>
          <w:szCs w:val="24"/>
        </w:rPr>
        <w:t xml:space="preserve"> </w:t>
      </w:r>
      <w:r w:rsidR="00153891">
        <w:rPr>
          <w:rFonts w:ascii="Arial" w:hAnsi="Arial" w:cs="Arial"/>
          <w:szCs w:val="24"/>
        </w:rPr>
        <w:t xml:space="preserve">is </w:t>
      </w:r>
      <w:r w:rsidR="00146514" w:rsidRPr="0022368A">
        <w:rPr>
          <w:rFonts w:ascii="Arial" w:hAnsi="Arial" w:cs="Arial"/>
          <w:szCs w:val="24"/>
        </w:rPr>
        <w:t>responsible for investigating and resolving all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>reported complaints and allegations concerning violati</w:t>
      </w:r>
      <w:r w:rsidRPr="0022368A">
        <w:rPr>
          <w:rFonts w:ascii="Arial" w:hAnsi="Arial" w:cs="Arial"/>
          <w:szCs w:val="24"/>
        </w:rPr>
        <w:t>ons of the Value and Ethics Policy</w:t>
      </w:r>
      <w:r w:rsidR="00146514" w:rsidRPr="0022368A">
        <w:rPr>
          <w:rFonts w:ascii="Arial" w:hAnsi="Arial" w:cs="Arial"/>
          <w:szCs w:val="24"/>
        </w:rPr>
        <w:t xml:space="preserve"> and, at </w:t>
      </w:r>
      <w:r w:rsidRPr="0022368A">
        <w:rPr>
          <w:rFonts w:ascii="Arial" w:hAnsi="Arial" w:cs="Arial"/>
          <w:szCs w:val="24"/>
        </w:rPr>
        <w:t xml:space="preserve">their </w:t>
      </w:r>
      <w:r w:rsidR="00146514" w:rsidRPr="0022368A">
        <w:rPr>
          <w:rFonts w:ascii="Arial" w:hAnsi="Arial" w:cs="Arial"/>
          <w:szCs w:val="24"/>
        </w:rPr>
        <w:t>discretion, shall advise the</w:t>
      </w:r>
      <w:r w:rsidR="0011493F" w:rsidRPr="0022368A">
        <w:rPr>
          <w:rFonts w:ascii="Arial" w:hAnsi="Arial" w:cs="Arial"/>
          <w:szCs w:val="24"/>
        </w:rPr>
        <w:t xml:space="preserve"> 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146514" w:rsidRPr="0022368A">
        <w:rPr>
          <w:rFonts w:ascii="Arial" w:hAnsi="Arial" w:cs="Arial"/>
          <w:szCs w:val="24"/>
        </w:rPr>
        <w:t>. The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 xml:space="preserve">Compliance Officer has direct access to the </w:t>
      </w:r>
      <w:r w:rsidR="0011493F" w:rsidRPr="0022368A">
        <w:rPr>
          <w:rFonts w:ascii="Arial" w:hAnsi="Arial" w:cs="Arial"/>
          <w:szCs w:val="24"/>
        </w:rPr>
        <w:t>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146514" w:rsidRPr="0022368A">
        <w:rPr>
          <w:rFonts w:ascii="Arial" w:hAnsi="Arial" w:cs="Arial"/>
          <w:szCs w:val="24"/>
        </w:rPr>
        <w:t xml:space="preserve"> and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 xml:space="preserve">is required to report to the </w:t>
      </w:r>
      <w:r w:rsidR="0011493F" w:rsidRPr="0022368A">
        <w:rPr>
          <w:rFonts w:ascii="Arial" w:hAnsi="Arial" w:cs="Arial"/>
          <w:szCs w:val="24"/>
        </w:rPr>
        <w:t>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915BC5"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>at least annually on compliance activity.</w:t>
      </w:r>
    </w:p>
    <w:p w14:paraId="1215E040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</w:p>
    <w:p w14:paraId="6C48B909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Accounting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and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Auditing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Matters</w:t>
      </w:r>
    </w:p>
    <w:p w14:paraId="3CEF7A8B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The </w:t>
      </w:r>
      <w:r w:rsidR="0011493F" w:rsidRPr="0022368A">
        <w:rPr>
          <w:rFonts w:ascii="Arial" w:hAnsi="Arial" w:cs="Arial"/>
          <w:szCs w:val="24"/>
        </w:rPr>
        <w:t>Coordinating Counci</w:t>
      </w:r>
      <w:r w:rsidR="00915BC5" w:rsidRPr="0022368A">
        <w:rPr>
          <w:rFonts w:ascii="Arial" w:hAnsi="Arial" w:cs="Arial"/>
          <w:szCs w:val="24"/>
        </w:rPr>
        <w:t>l</w:t>
      </w:r>
      <w:r w:rsidR="00497707" w:rsidRPr="0022368A">
        <w:rPr>
          <w:rFonts w:ascii="Arial" w:hAnsi="Arial" w:cs="Arial"/>
          <w:szCs w:val="24"/>
        </w:rPr>
        <w:t xml:space="preserve">/Hospice Advisory </w:t>
      </w:r>
      <w:r w:rsidR="0033137E" w:rsidRPr="0022368A">
        <w:rPr>
          <w:rFonts w:ascii="Arial" w:hAnsi="Arial" w:cs="Arial"/>
          <w:szCs w:val="24"/>
        </w:rPr>
        <w:t>Board shall</w:t>
      </w:r>
      <w:r w:rsidRPr="0022368A">
        <w:rPr>
          <w:rFonts w:ascii="Arial" w:hAnsi="Arial" w:cs="Arial"/>
          <w:szCs w:val="24"/>
        </w:rPr>
        <w:t xml:space="preserve"> address all reported concerns or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complaints regarding corporate accounting practices, internal controls or auditing. The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Compliance Officer shall immediately notify the </w:t>
      </w:r>
      <w:r w:rsidR="00915BC5" w:rsidRPr="0022368A">
        <w:rPr>
          <w:rFonts w:ascii="Arial" w:hAnsi="Arial" w:cs="Arial"/>
          <w:szCs w:val="24"/>
        </w:rPr>
        <w:t xml:space="preserve">Coordinating Council/Hospice </w:t>
      </w:r>
      <w:r w:rsidR="00497707" w:rsidRPr="0022368A">
        <w:rPr>
          <w:rFonts w:ascii="Arial" w:hAnsi="Arial" w:cs="Arial"/>
          <w:szCs w:val="24"/>
        </w:rPr>
        <w:t xml:space="preserve">Advisory </w:t>
      </w:r>
      <w:r w:rsidR="00207005" w:rsidRPr="0022368A">
        <w:rPr>
          <w:rFonts w:ascii="Arial" w:hAnsi="Arial" w:cs="Arial"/>
          <w:szCs w:val="24"/>
        </w:rPr>
        <w:t xml:space="preserve">Board </w:t>
      </w:r>
      <w:r w:rsidRPr="0022368A">
        <w:rPr>
          <w:rFonts w:ascii="Arial" w:hAnsi="Arial" w:cs="Arial"/>
          <w:szCs w:val="24"/>
        </w:rPr>
        <w:t>of any such complaint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and work with the</w:t>
      </w:r>
      <w:r w:rsidR="00915BC5" w:rsidRPr="0022368A">
        <w:rPr>
          <w:rFonts w:ascii="Arial" w:hAnsi="Arial" w:cs="Arial"/>
          <w:szCs w:val="24"/>
        </w:rPr>
        <w:t xml:space="preserve"> Coordinating Council/Hospice</w:t>
      </w:r>
      <w:r w:rsidRPr="0022368A">
        <w:rPr>
          <w:rFonts w:ascii="Arial" w:hAnsi="Arial" w:cs="Arial"/>
          <w:szCs w:val="24"/>
        </w:rPr>
        <w:t xml:space="preserve"> </w:t>
      </w:r>
      <w:r w:rsidR="00497707" w:rsidRPr="0022368A">
        <w:rPr>
          <w:rFonts w:ascii="Arial" w:hAnsi="Arial" w:cs="Arial"/>
          <w:szCs w:val="24"/>
        </w:rPr>
        <w:t xml:space="preserve">Advisory </w:t>
      </w:r>
      <w:r w:rsidR="0033137E" w:rsidRPr="0022368A">
        <w:rPr>
          <w:rFonts w:ascii="Arial" w:hAnsi="Arial" w:cs="Arial"/>
          <w:szCs w:val="24"/>
        </w:rPr>
        <w:t>Board until</w:t>
      </w:r>
      <w:r w:rsidRPr="0022368A">
        <w:rPr>
          <w:rFonts w:ascii="Arial" w:hAnsi="Arial" w:cs="Arial"/>
          <w:szCs w:val="24"/>
        </w:rPr>
        <w:t xml:space="preserve"> the matter is resolved.</w:t>
      </w:r>
    </w:p>
    <w:p w14:paraId="4A3CEC1B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1E3A97D6" w14:textId="77777777"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Acting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in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Good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Faith</w:t>
      </w:r>
    </w:p>
    <w:p w14:paraId="48DF9FEB" w14:textId="6636996C" w:rsidR="00680140" w:rsidRDefault="00146514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Anyone filing a complaint concerning a violation or</w:t>
      </w:r>
      <w:r w:rsidR="00C22072" w:rsidRPr="0022368A">
        <w:rPr>
          <w:rFonts w:ascii="Arial" w:hAnsi="Arial" w:cs="Arial"/>
          <w:szCs w:val="24"/>
        </w:rPr>
        <w:t xml:space="preserve"> suspected violation of the Value and </w:t>
      </w:r>
      <w:r w:rsidR="00207005" w:rsidRPr="0022368A">
        <w:rPr>
          <w:rFonts w:ascii="Arial" w:hAnsi="Arial" w:cs="Arial"/>
          <w:szCs w:val="24"/>
        </w:rPr>
        <w:t>E</w:t>
      </w:r>
      <w:r w:rsidR="00C22072" w:rsidRPr="0022368A">
        <w:rPr>
          <w:rFonts w:ascii="Arial" w:hAnsi="Arial" w:cs="Arial"/>
          <w:szCs w:val="24"/>
        </w:rPr>
        <w:t>thics Policy</w:t>
      </w:r>
      <w:r w:rsidRPr="0022368A">
        <w:rPr>
          <w:rFonts w:ascii="Arial" w:hAnsi="Arial" w:cs="Arial"/>
          <w:szCs w:val="24"/>
        </w:rPr>
        <w:t xml:space="preserve"> mus</w:t>
      </w:r>
      <w:r w:rsidR="00C22072" w:rsidRPr="0022368A">
        <w:rPr>
          <w:rFonts w:ascii="Arial" w:hAnsi="Arial" w:cs="Arial"/>
          <w:szCs w:val="24"/>
        </w:rPr>
        <w:t xml:space="preserve">t </w:t>
      </w:r>
      <w:r w:rsidRPr="0022368A">
        <w:rPr>
          <w:rFonts w:ascii="Arial" w:hAnsi="Arial" w:cs="Arial"/>
          <w:szCs w:val="24"/>
        </w:rPr>
        <w:t>be acting in good faith and have reasonable grounds for believing the information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disclosed i</w:t>
      </w:r>
      <w:r w:rsidR="00C22072" w:rsidRPr="0022368A">
        <w:rPr>
          <w:rFonts w:ascii="Arial" w:hAnsi="Arial" w:cs="Arial"/>
          <w:szCs w:val="24"/>
        </w:rPr>
        <w:t>ndicates a violation of the policy</w:t>
      </w:r>
      <w:r w:rsidRPr="0022368A">
        <w:rPr>
          <w:rFonts w:ascii="Arial" w:hAnsi="Arial" w:cs="Arial"/>
          <w:szCs w:val="24"/>
        </w:rPr>
        <w:t>. Any allegations that prove not to be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substantiated and which prove to have been made maliciously or knowingly to be </w:t>
      </w:r>
      <w:r w:rsidR="001D4552" w:rsidRPr="0022368A">
        <w:rPr>
          <w:rFonts w:ascii="Arial" w:hAnsi="Arial" w:cs="Arial"/>
          <w:szCs w:val="24"/>
        </w:rPr>
        <w:t>false will</w:t>
      </w:r>
      <w:r w:rsidRPr="0022368A">
        <w:rPr>
          <w:rFonts w:ascii="Arial" w:hAnsi="Arial" w:cs="Arial"/>
          <w:szCs w:val="24"/>
        </w:rPr>
        <w:t xml:space="preserve"> be viewed as a serious offense.</w:t>
      </w:r>
    </w:p>
    <w:p w14:paraId="4606D688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0F610949" w14:textId="77777777"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Confidentiality</w:t>
      </w:r>
    </w:p>
    <w:p w14:paraId="18ADDBE3" w14:textId="77777777"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Violations or suspected violations may be submitted on a confidential basis by the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complainant or may be submitted anonymously. Reports of violations or suspected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violations will be kept confidential to the extent possible, consistent with the need to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conduct an adequate investigation.</w:t>
      </w:r>
    </w:p>
    <w:p w14:paraId="60D946F0" w14:textId="77777777"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14:paraId="0A835D3A" w14:textId="77777777"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Handling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of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Reported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Violations</w:t>
      </w:r>
    </w:p>
    <w:p w14:paraId="6C9C2D18" w14:textId="546ACA2F"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The Compliance Officer</w:t>
      </w:r>
      <w:r w:rsidR="00153891">
        <w:rPr>
          <w:rFonts w:ascii="Arial" w:hAnsi="Arial" w:cs="Arial"/>
          <w:szCs w:val="24"/>
        </w:rPr>
        <w:t>-</w:t>
      </w:r>
      <w:r w:rsidRPr="0022368A">
        <w:rPr>
          <w:rFonts w:ascii="Arial" w:hAnsi="Arial" w:cs="Arial"/>
          <w:szCs w:val="24"/>
        </w:rPr>
        <w:t xml:space="preserve"> will notify the sender and acknowledge receipt of the reported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violation or suspected violation within five business days. All reports will be promptly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investigated</w:t>
      </w:r>
      <w:r w:rsidR="00863F99">
        <w:rPr>
          <w:rFonts w:ascii="Arial" w:hAnsi="Arial" w:cs="Arial"/>
          <w:szCs w:val="24"/>
        </w:rPr>
        <w:t>,</w:t>
      </w:r>
      <w:r w:rsidRPr="0022368A">
        <w:rPr>
          <w:rFonts w:ascii="Arial" w:hAnsi="Arial" w:cs="Arial"/>
          <w:szCs w:val="24"/>
        </w:rPr>
        <w:t xml:space="preserve"> and appropriate corrective action will be taken </w:t>
      </w:r>
      <w:r w:rsidR="00D0452D">
        <w:rPr>
          <w:rFonts w:ascii="Arial" w:hAnsi="Arial" w:cs="Arial"/>
          <w:szCs w:val="24"/>
        </w:rPr>
        <w:t>as appropriate</w:t>
      </w:r>
      <w:r w:rsidRPr="0022368A">
        <w:rPr>
          <w:rFonts w:ascii="Arial" w:hAnsi="Arial" w:cs="Arial"/>
          <w:szCs w:val="24"/>
        </w:rPr>
        <w:t xml:space="preserve"> by the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investigation.</w:t>
      </w:r>
    </w:p>
    <w:sectPr w:rsidR="00146514" w:rsidRPr="0022368A" w:rsidSect="00133772">
      <w:headerReference w:type="default" r:id="rId8"/>
      <w:footerReference w:type="default" r:id="rId9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5E3F" w14:textId="77777777" w:rsidR="00D74910" w:rsidRDefault="00D74910">
      <w:r>
        <w:separator/>
      </w:r>
    </w:p>
  </w:endnote>
  <w:endnote w:type="continuationSeparator" w:id="0">
    <w:p w14:paraId="52B67A3E" w14:textId="77777777" w:rsidR="00D74910" w:rsidRDefault="00D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64D6" w14:textId="77777777" w:rsidR="0033137E" w:rsidRPr="00133772" w:rsidRDefault="00481F5C" w:rsidP="0013377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</w:rPr>
    </w:pPr>
    <w:r>
      <w:rPr>
        <w:sz w:val="16"/>
        <w:szCs w:val="16"/>
      </w:rPr>
      <w:t xml:space="preserve">G:\Policies and Procedures </w:t>
    </w:r>
    <w:r w:rsidR="001D4552">
      <w:rPr>
        <w:sz w:val="16"/>
        <w:szCs w:val="16"/>
      </w:rPr>
      <w:t>2018</w:t>
    </w:r>
    <w:r>
      <w:rPr>
        <w:sz w:val="16"/>
        <w:szCs w:val="16"/>
      </w:rPr>
      <w:t>\Administrative Policies and Procedures</w:t>
    </w:r>
    <w:r w:rsidR="001D4552">
      <w:rPr>
        <w:sz w:val="16"/>
        <w:szCs w:val="16"/>
      </w:rPr>
      <w:t xml:space="preserve"> Manual</w:t>
    </w:r>
    <w:r>
      <w:rPr>
        <w:sz w:val="16"/>
        <w:szCs w:val="16"/>
      </w:rPr>
      <w:t>\ Leadership\Whistleblower.doc</w:t>
    </w:r>
    <w:r w:rsidR="00C3488E" w:rsidRPr="00133772">
      <w:rPr>
        <w:rFonts w:ascii="Arial" w:hAnsi="Arial" w:cs="Arial"/>
        <w:sz w:val="16"/>
      </w:rPr>
      <w:t xml:space="preserve"> </w:t>
    </w:r>
    <w:r w:rsidR="00133772" w:rsidRPr="00133772">
      <w:rPr>
        <w:rFonts w:ascii="Arial" w:hAnsi="Arial" w:cs="Arial"/>
        <w:sz w:val="16"/>
      </w:rPr>
      <w:tab/>
    </w:r>
    <w:r w:rsidR="00D817FF" w:rsidRPr="00133772">
      <w:rPr>
        <w:rFonts w:ascii="Arial" w:hAnsi="Arial" w:cs="Arial"/>
        <w:sz w:val="16"/>
      </w:rPr>
      <w:fldChar w:fldCharType="begin"/>
    </w:r>
    <w:r w:rsidR="00133772" w:rsidRPr="00133772">
      <w:rPr>
        <w:rFonts w:ascii="Arial" w:hAnsi="Arial" w:cs="Arial"/>
        <w:sz w:val="16"/>
      </w:rPr>
      <w:instrText xml:space="preserve"> PAGE   \* MERGEFORMAT </w:instrText>
    </w:r>
    <w:r w:rsidR="00D817FF" w:rsidRPr="00133772">
      <w:rPr>
        <w:rFonts w:ascii="Arial" w:hAnsi="Arial" w:cs="Arial"/>
        <w:sz w:val="16"/>
      </w:rPr>
      <w:fldChar w:fldCharType="separate"/>
    </w:r>
    <w:r w:rsidR="001D4552">
      <w:rPr>
        <w:rFonts w:ascii="Arial" w:hAnsi="Arial" w:cs="Arial"/>
        <w:noProof/>
        <w:sz w:val="16"/>
      </w:rPr>
      <w:t>1</w:t>
    </w:r>
    <w:r w:rsidR="00D817FF" w:rsidRPr="0013377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E64F" w14:textId="77777777" w:rsidR="00D74910" w:rsidRDefault="00D74910">
      <w:r>
        <w:separator/>
      </w:r>
    </w:p>
  </w:footnote>
  <w:footnote w:type="continuationSeparator" w:id="0">
    <w:p w14:paraId="7F699E1D" w14:textId="77777777" w:rsidR="00D74910" w:rsidRDefault="00D7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BE8D" w14:textId="77777777" w:rsidR="00481F5C" w:rsidRDefault="001D4552" w:rsidP="001D4552">
    <w:pPr>
      <w:pStyle w:val="Header"/>
      <w:tabs>
        <w:tab w:val="clear" w:pos="4320"/>
        <w:tab w:val="clear" w:pos="8640"/>
        <w:tab w:val="left" w:pos="43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210B61"/>
    <w:multiLevelType w:val="hybridMultilevel"/>
    <w:tmpl w:val="60007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4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72"/>
    <w:rsid w:val="00036C26"/>
    <w:rsid w:val="00064CE9"/>
    <w:rsid w:val="00066A96"/>
    <w:rsid w:val="000A1AA5"/>
    <w:rsid w:val="0011493F"/>
    <w:rsid w:val="00133772"/>
    <w:rsid w:val="00146514"/>
    <w:rsid w:val="00153891"/>
    <w:rsid w:val="00157462"/>
    <w:rsid w:val="0016225E"/>
    <w:rsid w:val="00177273"/>
    <w:rsid w:val="00177743"/>
    <w:rsid w:val="00186F27"/>
    <w:rsid w:val="00192356"/>
    <w:rsid w:val="001D4552"/>
    <w:rsid w:val="001F50FF"/>
    <w:rsid w:val="00207005"/>
    <w:rsid w:val="0022368A"/>
    <w:rsid w:val="002A5188"/>
    <w:rsid w:val="0033137E"/>
    <w:rsid w:val="003758B4"/>
    <w:rsid w:val="003C48AF"/>
    <w:rsid w:val="003E0325"/>
    <w:rsid w:val="0041019C"/>
    <w:rsid w:val="00410A4C"/>
    <w:rsid w:val="00454191"/>
    <w:rsid w:val="00460DF7"/>
    <w:rsid w:val="00471691"/>
    <w:rsid w:val="00481F5C"/>
    <w:rsid w:val="00497707"/>
    <w:rsid w:val="004C5BFB"/>
    <w:rsid w:val="00511D9A"/>
    <w:rsid w:val="005232CB"/>
    <w:rsid w:val="00525CB6"/>
    <w:rsid w:val="005526CC"/>
    <w:rsid w:val="00553FF2"/>
    <w:rsid w:val="005643C2"/>
    <w:rsid w:val="005E6B2E"/>
    <w:rsid w:val="00626C65"/>
    <w:rsid w:val="00653344"/>
    <w:rsid w:val="00680140"/>
    <w:rsid w:val="00681AE2"/>
    <w:rsid w:val="00683E0C"/>
    <w:rsid w:val="00692D2C"/>
    <w:rsid w:val="006B6239"/>
    <w:rsid w:val="006F2414"/>
    <w:rsid w:val="0073507E"/>
    <w:rsid w:val="0076217E"/>
    <w:rsid w:val="007658F8"/>
    <w:rsid w:val="007A5D0E"/>
    <w:rsid w:val="008339DE"/>
    <w:rsid w:val="00835AA3"/>
    <w:rsid w:val="00863F99"/>
    <w:rsid w:val="008A687F"/>
    <w:rsid w:val="008B58F7"/>
    <w:rsid w:val="008F5C72"/>
    <w:rsid w:val="00915BC5"/>
    <w:rsid w:val="009246C3"/>
    <w:rsid w:val="0093116B"/>
    <w:rsid w:val="00946C64"/>
    <w:rsid w:val="00963371"/>
    <w:rsid w:val="009647BE"/>
    <w:rsid w:val="009B3F66"/>
    <w:rsid w:val="009F58DB"/>
    <w:rsid w:val="00A07B14"/>
    <w:rsid w:val="00A61CD5"/>
    <w:rsid w:val="00A67A69"/>
    <w:rsid w:val="00AF4045"/>
    <w:rsid w:val="00B14226"/>
    <w:rsid w:val="00B62EC7"/>
    <w:rsid w:val="00B66267"/>
    <w:rsid w:val="00B803B7"/>
    <w:rsid w:val="00BC67E4"/>
    <w:rsid w:val="00BE4D86"/>
    <w:rsid w:val="00C22072"/>
    <w:rsid w:val="00C3488E"/>
    <w:rsid w:val="00CA6B7D"/>
    <w:rsid w:val="00CD633C"/>
    <w:rsid w:val="00CF70CA"/>
    <w:rsid w:val="00D00A42"/>
    <w:rsid w:val="00D0452D"/>
    <w:rsid w:val="00D21B95"/>
    <w:rsid w:val="00D43DC8"/>
    <w:rsid w:val="00D72567"/>
    <w:rsid w:val="00D74910"/>
    <w:rsid w:val="00D817FF"/>
    <w:rsid w:val="00D86F82"/>
    <w:rsid w:val="00DB1242"/>
    <w:rsid w:val="00DD198D"/>
    <w:rsid w:val="00E05305"/>
    <w:rsid w:val="00E51EC0"/>
    <w:rsid w:val="00E605FC"/>
    <w:rsid w:val="00EA1021"/>
    <w:rsid w:val="00EB413E"/>
    <w:rsid w:val="00EF0B86"/>
    <w:rsid w:val="00F12387"/>
    <w:rsid w:val="00F2110B"/>
    <w:rsid w:val="00F5081A"/>
    <w:rsid w:val="00F955C9"/>
    <w:rsid w:val="00FF028B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A507E"/>
  <w15:docId w15:val="{006DE04D-1231-4927-80F6-7AD2FA5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2EC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62EC7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B62EC7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62EC7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B62EC7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B62EC7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2EC7"/>
  </w:style>
  <w:style w:type="paragraph" w:customStyle="1" w:styleId="Level1">
    <w:name w:val="Level 1"/>
    <w:basedOn w:val="Normal"/>
    <w:rsid w:val="00B62EC7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B62E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2E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EC7"/>
  </w:style>
  <w:style w:type="paragraph" w:customStyle="1" w:styleId="PPTitle">
    <w:name w:val="P&amp;PTitle"/>
    <w:basedOn w:val="Heading1"/>
    <w:rsid w:val="00B62EC7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B62EC7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B62EC7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4C5B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A6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6E91-753E-4383-BA87-8E46EE1A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Kathy Piette</dc:creator>
  <cp:lastModifiedBy>Julie Smith</cp:lastModifiedBy>
  <cp:revision>10</cp:revision>
  <cp:lastPrinted>2018-04-30T16:16:00Z</cp:lastPrinted>
  <dcterms:created xsi:type="dcterms:W3CDTF">2018-04-30T16:17:00Z</dcterms:created>
  <dcterms:modified xsi:type="dcterms:W3CDTF">2020-06-29T19:18:00Z</dcterms:modified>
</cp:coreProperties>
</file>