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1771"/>
        <w:gridCol w:w="4177"/>
      </w:tblGrid>
      <w:tr w:rsidR="0034462A" w:rsidRPr="00421676" w14:paraId="5DB8A7C5" w14:textId="77777777">
        <w:trPr>
          <w:cantSplit/>
          <w:trHeight w:val="383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E1F" w14:textId="77777777" w:rsidR="0034462A" w:rsidRPr="008D37C2" w:rsidRDefault="0034462A" w:rsidP="00845B56">
            <w:pPr>
              <w:pStyle w:val="Heading3"/>
              <w:rPr>
                <w:snapToGrid w:val="0"/>
                <w:sz w:val="24"/>
                <w:szCs w:val="24"/>
              </w:rPr>
            </w:pPr>
            <w:r w:rsidRPr="008D37C2">
              <w:rPr>
                <w:snapToGrid w:val="0"/>
                <w:sz w:val="24"/>
                <w:szCs w:val="24"/>
              </w:rPr>
              <w:t xml:space="preserve">Palliative Care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9DE21" w14:textId="77777777" w:rsidR="0034462A" w:rsidRPr="00421676" w:rsidRDefault="0034462A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Last Revision:</w:t>
            </w:r>
            <w:r w:rsidRPr="0042167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B5CEC" w14:textId="0F101647" w:rsidR="0034462A" w:rsidRPr="00421676" w:rsidRDefault="00B377AB" w:rsidP="000E664F">
            <w:pPr>
              <w:snapToGri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43FAA">
              <w:rPr>
                <w:rFonts w:ascii="Arial" w:hAnsi="Arial" w:cs="Arial"/>
                <w:sz w:val="22"/>
                <w:szCs w:val="22"/>
              </w:rPr>
              <w:t>March 2020</w:t>
            </w:r>
          </w:p>
        </w:tc>
      </w:tr>
      <w:tr w:rsidR="0054144C" w:rsidRPr="00421676" w14:paraId="64F11B5F" w14:textId="77777777">
        <w:trPr>
          <w:cantSplit/>
          <w:trHeight w:val="383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8D6" w14:textId="77777777" w:rsidR="0054144C" w:rsidRPr="00421676" w:rsidRDefault="0054144C" w:rsidP="00845B56">
            <w:pPr>
              <w:pStyle w:val="Heading3"/>
              <w:rPr>
                <w:snapToGrid w:val="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4AC2B" w14:textId="77777777" w:rsidR="0054144C" w:rsidRPr="00421676" w:rsidRDefault="0054144C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Last Reviewed: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DD0D3" w14:textId="619DFFA0" w:rsidR="0054144C" w:rsidRPr="008D37C2" w:rsidRDefault="008D37C2" w:rsidP="009B5EE4">
            <w:pPr>
              <w:snapToGrid w:val="0"/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BE333E">
              <w:rPr>
                <w:rFonts w:ascii="Arial" w:hAnsi="Arial" w:cs="Arial"/>
                <w:szCs w:val="24"/>
              </w:rPr>
              <w:t>June</w:t>
            </w:r>
            <w:bookmarkStart w:id="0" w:name="_GoBack"/>
            <w:bookmarkEnd w:id="0"/>
            <w:r w:rsidR="00C43FAA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  <w:tr w:rsidR="0034462A" w:rsidRPr="00421676" w14:paraId="7A0BA0B7" w14:textId="77777777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ADC" w14:textId="77777777" w:rsidR="0034462A" w:rsidRPr="00421676" w:rsidRDefault="0034462A">
            <w:pPr>
              <w:widowControl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B7A40" w14:textId="77777777" w:rsidR="0034462A" w:rsidRPr="00421676" w:rsidRDefault="0034462A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Applies to the following THA Group of Companies: 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C929" w14:textId="77777777"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Island Health Care</w:t>
            </w:r>
          </w:p>
          <w:p w14:paraId="289AF08E" w14:textId="77777777"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Island Hospice</w:t>
            </w:r>
          </w:p>
          <w:p w14:paraId="5B0B3613" w14:textId="77777777"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Independent Life at Home</w:t>
            </w:r>
          </w:p>
          <w:p w14:paraId="53C2FA5D" w14:textId="77777777" w:rsidR="005843C6" w:rsidRPr="005843C6" w:rsidRDefault="005843C6" w:rsidP="005843C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Palliation Choices</w:t>
            </w:r>
          </w:p>
        </w:tc>
      </w:tr>
      <w:tr w:rsidR="00B377AB" w:rsidRPr="00421676" w14:paraId="1E4ED3FC" w14:textId="77777777">
        <w:trPr>
          <w:cantSplit/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201" w14:textId="77777777" w:rsidR="00B377AB" w:rsidRPr="00421676" w:rsidRDefault="00B377AB">
            <w:pPr>
              <w:widowControl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AFE37" w14:textId="77777777" w:rsidR="00B377AB" w:rsidRPr="00421676" w:rsidRDefault="00B377AB" w:rsidP="00B377AB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Included in the following THA Manual: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75341" w14:textId="77777777" w:rsidR="00B377AB" w:rsidRPr="00421676" w:rsidRDefault="00B377AB" w:rsidP="00B377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Administrative Policy and Procedure Manual</w:t>
            </w:r>
          </w:p>
          <w:p w14:paraId="52B1C532" w14:textId="77777777" w:rsidR="000E664F" w:rsidRDefault="000E664F" w:rsidP="003146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377AB" w:rsidRPr="00421676">
              <w:rPr>
                <w:rFonts w:ascii="Arial" w:hAnsi="Arial" w:cs="Arial"/>
                <w:sz w:val="22"/>
                <w:szCs w:val="22"/>
              </w:rPr>
              <w:t xml:space="preserve">Provision of Care, Treatment, &amp; </w:t>
            </w:r>
          </w:p>
          <w:p w14:paraId="08E6EE40" w14:textId="77777777" w:rsidR="00B377AB" w:rsidRPr="00421676" w:rsidRDefault="000E664F" w:rsidP="003146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377AB" w:rsidRPr="00421676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</w:tr>
    </w:tbl>
    <w:p w14:paraId="51273001" w14:textId="77777777" w:rsidR="0034462A" w:rsidRPr="00421676" w:rsidRDefault="0034462A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14:paraId="67697ED0" w14:textId="77777777" w:rsidR="00B377AB" w:rsidRPr="00421676" w:rsidRDefault="00B377AB">
      <w:pPr>
        <w:pStyle w:val="Heading4"/>
        <w:rPr>
          <w:rFonts w:ascii="Arial" w:hAnsi="Arial" w:cs="Arial"/>
          <w:szCs w:val="22"/>
        </w:rPr>
      </w:pPr>
    </w:p>
    <w:p w14:paraId="5532D358" w14:textId="77777777" w:rsidR="00B377AB" w:rsidRPr="00421676" w:rsidRDefault="00B377AB">
      <w:pPr>
        <w:pStyle w:val="Heading4"/>
        <w:rPr>
          <w:rFonts w:ascii="Arial" w:hAnsi="Arial" w:cs="Arial"/>
          <w:szCs w:val="22"/>
        </w:rPr>
      </w:pPr>
    </w:p>
    <w:p w14:paraId="19E2B262" w14:textId="77777777" w:rsidR="0034462A" w:rsidRPr="00421676" w:rsidRDefault="0034462A">
      <w:pPr>
        <w:pStyle w:val="Heading4"/>
        <w:rPr>
          <w:rFonts w:ascii="Arial" w:hAnsi="Arial" w:cs="Arial"/>
          <w:szCs w:val="22"/>
        </w:rPr>
      </w:pPr>
      <w:r w:rsidRPr="00421676">
        <w:rPr>
          <w:rFonts w:ascii="Arial" w:hAnsi="Arial" w:cs="Arial"/>
          <w:szCs w:val="22"/>
        </w:rPr>
        <w:t xml:space="preserve">POLICY </w:t>
      </w:r>
    </w:p>
    <w:p w14:paraId="28E22428" w14:textId="77777777" w:rsidR="0034462A" w:rsidRPr="00421676" w:rsidRDefault="0034462A">
      <w:pPr>
        <w:rPr>
          <w:rFonts w:ascii="Arial" w:hAnsi="Arial" w:cs="Arial"/>
          <w:sz w:val="22"/>
          <w:szCs w:val="22"/>
        </w:rPr>
      </w:pPr>
    </w:p>
    <w:p w14:paraId="0691E21C" w14:textId="77777777" w:rsidR="0034462A" w:rsidRPr="00421676" w:rsidRDefault="0034462A">
      <w:pPr>
        <w:ind w:right="18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It is the policy of Island Health Care, Inc. to identify patient</w:t>
      </w:r>
      <w:r w:rsidR="00DB33F3" w:rsidRPr="00421676">
        <w:rPr>
          <w:rFonts w:ascii="Arial" w:hAnsi="Arial" w:cs="Arial"/>
          <w:sz w:val="22"/>
          <w:szCs w:val="22"/>
        </w:rPr>
        <w:t>s who may</w:t>
      </w:r>
      <w:r w:rsidRPr="00421676">
        <w:rPr>
          <w:rFonts w:ascii="Arial" w:hAnsi="Arial" w:cs="Arial"/>
          <w:sz w:val="22"/>
          <w:szCs w:val="22"/>
        </w:rPr>
        <w:t xml:space="preserve"> </w:t>
      </w:r>
      <w:r w:rsidR="00DB33F3" w:rsidRPr="00421676">
        <w:rPr>
          <w:rFonts w:ascii="Arial" w:hAnsi="Arial" w:cs="Arial"/>
          <w:sz w:val="22"/>
          <w:szCs w:val="22"/>
        </w:rPr>
        <w:t>experience uncontrolled</w:t>
      </w:r>
      <w:r w:rsidRPr="00421676">
        <w:rPr>
          <w:rFonts w:ascii="Arial" w:hAnsi="Arial" w:cs="Arial"/>
          <w:sz w:val="22"/>
          <w:szCs w:val="22"/>
        </w:rPr>
        <w:t xml:space="preserve"> pain and/or other symptoms</w:t>
      </w:r>
      <w:r w:rsidR="00DB33F3" w:rsidRPr="00421676">
        <w:rPr>
          <w:rFonts w:ascii="Arial" w:hAnsi="Arial" w:cs="Arial"/>
          <w:sz w:val="22"/>
          <w:szCs w:val="22"/>
        </w:rPr>
        <w:t xml:space="preserve"> and </w:t>
      </w:r>
      <w:r w:rsidR="005843C6">
        <w:rPr>
          <w:rFonts w:ascii="Arial" w:hAnsi="Arial" w:cs="Arial"/>
          <w:sz w:val="22"/>
          <w:szCs w:val="22"/>
        </w:rPr>
        <w:t xml:space="preserve">who </w:t>
      </w:r>
      <w:r w:rsidR="00DB33F3" w:rsidRPr="00421676">
        <w:rPr>
          <w:rFonts w:ascii="Arial" w:hAnsi="Arial" w:cs="Arial"/>
          <w:sz w:val="22"/>
          <w:szCs w:val="22"/>
        </w:rPr>
        <w:t xml:space="preserve">therefore </w:t>
      </w:r>
      <w:r w:rsidR="00016E0E" w:rsidRPr="00421676">
        <w:rPr>
          <w:rFonts w:ascii="Arial" w:hAnsi="Arial" w:cs="Arial"/>
          <w:sz w:val="22"/>
          <w:szCs w:val="22"/>
        </w:rPr>
        <w:t>require palliative</w:t>
      </w:r>
      <w:r w:rsidR="00DB33F3" w:rsidRPr="00421676">
        <w:rPr>
          <w:rFonts w:ascii="Arial" w:hAnsi="Arial" w:cs="Arial"/>
          <w:sz w:val="22"/>
          <w:szCs w:val="22"/>
        </w:rPr>
        <w:t xml:space="preserve"> care</w:t>
      </w:r>
      <w:r w:rsidRPr="00421676">
        <w:rPr>
          <w:rFonts w:ascii="Arial" w:hAnsi="Arial" w:cs="Arial"/>
          <w:sz w:val="22"/>
          <w:szCs w:val="22"/>
        </w:rPr>
        <w:t>.</w:t>
      </w:r>
    </w:p>
    <w:p w14:paraId="259BFBE7" w14:textId="77777777" w:rsidR="0034462A" w:rsidRPr="00421676" w:rsidRDefault="0034462A">
      <w:pPr>
        <w:ind w:right="18"/>
        <w:jc w:val="both"/>
        <w:rPr>
          <w:rFonts w:ascii="Arial" w:hAnsi="Arial" w:cs="Arial"/>
          <w:sz w:val="22"/>
          <w:szCs w:val="22"/>
        </w:rPr>
      </w:pPr>
    </w:p>
    <w:p w14:paraId="6C1B9B71" w14:textId="77777777" w:rsidR="00B377AB" w:rsidRPr="00421676" w:rsidRDefault="00B377AB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2725AC" w14:textId="77777777" w:rsidR="00B377AB" w:rsidRPr="00421676" w:rsidRDefault="00B377AB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DD3FC7" w14:textId="77777777" w:rsidR="0034462A" w:rsidRPr="00421676" w:rsidRDefault="0034462A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1676">
        <w:rPr>
          <w:rFonts w:ascii="Arial" w:hAnsi="Arial" w:cs="Arial"/>
          <w:b/>
          <w:sz w:val="22"/>
          <w:szCs w:val="22"/>
          <w:u w:val="single"/>
        </w:rPr>
        <w:t xml:space="preserve">PURPOSE </w:t>
      </w:r>
    </w:p>
    <w:p w14:paraId="24E49EB8" w14:textId="77777777"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1.</w:t>
      </w:r>
      <w:r w:rsidRPr="00421676">
        <w:rPr>
          <w:rFonts w:ascii="Arial" w:hAnsi="Arial" w:cs="Arial"/>
          <w:sz w:val="22"/>
          <w:szCs w:val="22"/>
        </w:rPr>
        <w:tab/>
        <w:t>Identify pot</w:t>
      </w:r>
      <w:r w:rsidR="00E86BF8" w:rsidRPr="00421676">
        <w:rPr>
          <w:rFonts w:ascii="Arial" w:hAnsi="Arial" w:cs="Arial"/>
          <w:sz w:val="22"/>
          <w:szCs w:val="22"/>
        </w:rPr>
        <w:t>ential palliative care patients</w:t>
      </w:r>
    </w:p>
    <w:p w14:paraId="71A9C21F" w14:textId="77777777"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2.</w:t>
      </w:r>
      <w:r w:rsidRPr="00421676">
        <w:rPr>
          <w:rFonts w:ascii="Arial" w:hAnsi="Arial" w:cs="Arial"/>
          <w:sz w:val="22"/>
          <w:szCs w:val="22"/>
        </w:rPr>
        <w:tab/>
        <w:t>Es</w:t>
      </w:r>
      <w:r w:rsidR="00DB33F3" w:rsidRPr="00421676">
        <w:rPr>
          <w:rFonts w:ascii="Arial" w:hAnsi="Arial" w:cs="Arial"/>
          <w:sz w:val="22"/>
          <w:szCs w:val="22"/>
        </w:rPr>
        <w:t xml:space="preserve">tablish </w:t>
      </w:r>
      <w:r w:rsidR="005843C6">
        <w:rPr>
          <w:rFonts w:ascii="Arial" w:hAnsi="Arial" w:cs="Arial"/>
          <w:sz w:val="22"/>
          <w:szCs w:val="22"/>
        </w:rPr>
        <w:t xml:space="preserve">a </w:t>
      </w:r>
      <w:r w:rsidR="00DB33F3" w:rsidRPr="00421676">
        <w:rPr>
          <w:rFonts w:ascii="Arial" w:hAnsi="Arial" w:cs="Arial"/>
          <w:sz w:val="22"/>
          <w:szCs w:val="22"/>
        </w:rPr>
        <w:t>referral process</w:t>
      </w:r>
      <w:r w:rsidR="00E86BF8" w:rsidRPr="00421676">
        <w:rPr>
          <w:rFonts w:ascii="Arial" w:hAnsi="Arial" w:cs="Arial"/>
          <w:sz w:val="22"/>
          <w:szCs w:val="22"/>
        </w:rPr>
        <w:t xml:space="preserve"> for palliative care</w:t>
      </w:r>
    </w:p>
    <w:p w14:paraId="188911D4" w14:textId="77777777" w:rsidR="0034462A" w:rsidRPr="00421676" w:rsidRDefault="0034462A">
      <w:pPr>
        <w:ind w:left="720" w:right="14" w:hanging="720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3.</w:t>
      </w:r>
      <w:r w:rsidRPr="00421676">
        <w:rPr>
          <w:rFonts w:ascii="Arial" w:hAnsi="Arial" w:cs="Arial"/>
          <w:sz w:val="22"/>
          <w:szCs w:val="22"/>
        </w:rPr>
        <w:tab/>
        <w:t xml:space="preserve">Provide continuity of care by bridging patients from IHC to hospice through palliative care program </w:t>
      </w:r>
    </w:p>
    <w:p w14:paraId="5D7DC183" w14:textId="77777777"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</w:p>
    <w:p w14:paraId="3C75B414" w14:textId="77777777" w:rsidR="00B377AB" w:rsidRPr="00421676" w:rsidRDefault="00B377AB" w:rsidP="007B73CD">
      <w:pPr>
        <w:pStyle w:val="Heading1"/>
        <w:rPr>
          <w:rFonts w:ascii="Arial" w:hAnsi="Arial" w:cs="Arial"/>
          <w:sz w:val="22"/>
          <w:szCs w:val="22"/>
        </w:rPr>
      </w:pPr>
    </w:p>
    <w:p w14:paraId="0A8A35EA" w14:textId="77777777" w:rsidR="007B73CD" w:rsidRPr="00421676" w:rsidRDefault="0034462A" w:rsidP="007B73CD">
      <w:pPr>
        <w:pStyle w:val="Heading1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PROCEDURE</w:t>
      </w:r>
    </w:p>
    <w:p w14:paraId="734312E5" w14:textId="77777777" w:rsidR="0034462A" w:rsidRPr="00421676" w:rsidRDefault="0034462A">
      <w:pPr>
        <w:rPr>
          <w:rFonts w:ascii="Arial" w:hAnsi="Arial" w:cs="Arial"/>
          <w:sz w:val="22"/>
          <w:szCs w:val="22"/>
        </w:rPr>
      </w:pPr>
    </w:p>
    <w:p w14:paraId="6F38C091" w14:textId="77777777" w:rsidR="006A39DA" w:rsidRDefault="005843C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Patients who may be appropriate for palliative care are identified through the following resources:</w:t>
      </w:r>
    </w:p>
    <w:p w14:paraId="6F4071BC" w14:textId="77777777"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Healthcare Partners (SHP) review of the comprehensive assessment</w:t>
      </w:r>
    </w:p>
    <w:p w14:paraId="16582B44" w14:textId="32959CD8"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Palliation Choices/Island Healthcare criteria for referring patients for a </w:t>
      </w:r>
      <w:r w:rsidR="000C26D7">
        <w:rPr>
          <w:rFonts w:ascii="Arial" w:hAnsi="Arial" w:cs="Arial"/>
          <w:sz w:val="22"/>
          <w:szCs w:val="22"/>
        </w:rPr>
        <w:t>palliative consult</w:t>
      </w:r>
    </w:p>
    <w:p w14:paraId="4F808DD1" w14:textId="58EB4D8A"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of an </w:t>
      </w:r>
      <w:r w:rsidRPr="00BE333E">
        <w:rPr>
          <w:rFonts w:ascii="Arial" w:hAnsi="Arial" w:cs="Arial"/>
          <w:sz w:val="22"/>
          <w:szCs w:val="22"/>
        </w:rPr>
        <w:t>Island Hospice (IH) clinician at weekly IHC team meetings</w:t>
      </w:r>
      <w:r>
        <w:rPr>
          <w:rFonts w:ascii="Arial" w:hAnsi="Arial" w:cs="Arial"/>
          <w:sz w:val="22"/>
          <w:szCs w:val="22"/>
        </w:rPr>
        <w:t xml:space="preserve"> to assist in identifying potential palliative care patients.</w:t>
      </w:r>
    </w:p>
    <w:p w14:paraId="11CD7B06" w14:textId="0C4D7FAF" w:rsidR="00596364" w:rsidRDefault="005843C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4462A" w:rsidRPr="00421676">
        <w:rPr>
          <w:rFonts w:ascii="Arial" w:hAnsi="Arial" w:cs="Arial"/>
          <w:sz w:val="22"/>
          <w:szCs w:val="22"/>
        </w:rPr>
        <w:t>.</w:t>
      </w:r>
      <w:r w:rsidR="0034462A" w:rsidRPr="00421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Patients identified through these resources are referred by </w:t>
      </w:r>
      <w:r w:rsidRPr="00BE333E">
        <w:rPr>
          <w:rFonts w:ascii="Arial" w:hAnsi="Arial" w:cs="Arial"/>
          <w:sz w:val="22"/>
          <w:szCs w:val="22"/>
        </w:rPr>
        <w:t xml:space="preserve">the </w:t>
      </w:r>
      <w:r w:rsidR="00E61E3E" w:rsidRPr="00BE333E">
        <w:rPr>
          <w:rFonts w:ascii="Arial" w:hAnsi="Arial" w:cs="Arial"/>
          <w:sz w:val="22"/>
          <w:szCs w:val="22"/>
        </w:rPr>
        <w:t>State Director</w:t>
      </w:r>
      <w:r w:rsidR="00C43FAA" w:rsidRPr="00BE333E">
        <w:rPr>
          <w:rFonts w:ascii="Arial" w:hAnsi="Arial" w:cs="Arial"/>
          <w:sz w:val="22"/>
          <w:szCs w:val="22"/>
        </w:rPr>
        <w:t>, Clinical Director</w:t>
      </w:r>
      <w:r w:rsidR="00E61E3E" w:rsidRPr="00BE333E">
        <w:rPr>
          <w:rFonts w:ascii="Arial" w:hAnsi="Arial" w:cs="Arial"/>
          <w:sz w:val="22"/>
          <w:szCs w:val="22"/>
        </w:rPr>
        <w:t xml:space="preserve"> </w:t>
      </w:r>
      <w:r w:rsidRPr="00BE333E">
        <w:rPr>
          <w:rFonts w:ascii="Arial" w:hAnsi="Arial" w:cs="Arial"/>
          <w:sz w:val="22"/>
          <w:szCs w:val="22"/>
        </w:rPr>
        <w:t xml:space="preserve">or field staff to the Palliation </w:t>
      </w:r>
      <w:r w:rsidR="000E664F" w:rsidRPr="00BE333E">
        <w:rPr>
          <w:rFonts w:ascii="Arial" w:hAnsi="Arial" w:cs="Arial"/>
          <w:sz w:val="22"/>
          <w:szCs w:val="22"/>
        </w:rPr>
        <w:t>Choices Program</w:t>
      </w:r>
    </w:p>
    <w:p w14:paraId="12F53E78" w14:textId="46379089" w:rsidR="006A39DA" w:rsidRDefault="002F17D8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Palliation Choices Program</w:t>
      </w:r>
      <w:r w:rsidR="00584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contacts </w:t>
      </w:r>
      <w:r w:rsidR="005843C6">
        <w:rPr>
          <w:rFonts w:ascii="Arial" w:hAnsi="Arial" w:cs="Arial"/>
          <w:sz w:val="22"/>
          <w:szCs w:val="22"/>
        </w:rPr>
        <w:t xml:space="preserve">the patient within 1 week of receiving consult to schedule a visit; the </w:t>
      </w:r>
      <w:r w:rsidR="00E61E3E">
        <w:rPr>
          <w:rFonts w:ascii="Arial" w:hAnsi="Arial" w:cs="Arial"/>
          <w:sz w:val="22"/>
          <w:szCs w:val="22"/>
        </w:rPr>
        <w:t xml:space="preserve">State Director </w:t>
      </w:r>
      <w:r>
        <w:rPr>
          <w:rFonts w:ascii="Arial" w:hAnsi="Arial" w:cs="Arial"/>
          <w:sz w:val="22"/>
          <w:szCs w:val="22"/>
        </w:rPr>
        <w:t xml:space="preserve">is also notified </w:t>
      </w:r>
      <w:r w:rsidR="005843C6">
        <w:rPr>
          <w:rFonts w:ascii="Arial" w:hAnsi="Arial" w:cs="Arial"/>
          <w:sz w:val="22"/>
          <w:szCs w:val="22"/>
        </w:rPr>
        <w:t>with visit details</w:t>
      </w:r>
    </w:p>
    <w:p w14:paraId="656A384A" w14:textId="5CB0A2C5"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completing the patient visit, the </w:t>
      </w:r>
      <w:r w:rsidR="00E61E3E">
        <w:rPr>
          <w:rFonts w:ascii="Arial" w:hAnsi="Arial" w:cs="Arial"/>
          <w:sz w:val="22"/>
          <w:szCs w:val="22"/>
        </w:rPr>
        <w:t xml:space="preserve">State Director </w:t>
      </w:r>
      <w:r w:rsidR="002F17D8">
        <w:rPr>
          <w:rFonts w:ascii="Arial" w:hAnsi="Arial" w:cs="Arial"/>
          <w:sz w:val="22"/>
          <w:szCs w:val="22"/>
        </w:rPr>
        <w:t xml:space="preserve">is provided </w:t>
      </w:r>
      <w:r>
        <w:rPr>
          <w:rFonts w:ascii="Arial" w:hAnsi="Arial" w:cs="Arial"/>
          <w:sz w:val="22"/>
          <w:szCs w:val="22"/>
        </w:rPr>
        <w:t>with an update and ensure</w:t>
      </w:r>
      <w:r w:rsidR="002F17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order strings are needed</w:t>
      </w:r>
    </w:p>
    <w:p w14:paraId="36FE5FA7" w14:textId="77777777"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17D8">
        <w:rPr>
          <w:rFonts w:ascii="Arial" w:hAnsi="Arial" w:cs="Arial"/>
          <w:sz w:val="22"/>
          <w:szCs w:val="22"/>
        </w:rPr>
        <w:t>Palliation Choices Staff Members complete</w:t>
      </w:r>
      <w:r>
        <w:rPr>
          <w:rFonts w:ascii="Arial" w:hAnsi="Arial" w:cs="Arial"/>
          <w:sz w:val="22"/>
          <w:szCs w:val="22"/>
        </w:rPr>
        <w:t xml:space="preserve"> the consult note and communicates Plan of Care recommendations to field staff.</w:t>
      </w:r>
    </w:p>
    <w:p w14:paraId="57A84B4E" w14:textId="77777777"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Palliative Care Consult note </w:t>
      </w:r>
      <w:r w:rsidR="002F17D8">
        <w:rPr>
          <w:rFonts w:ascii="Arial" w:hAnsi="Arial" w:cs="Arial"/>
          <w:sz w:val="22"/>
          <w:szCs w:val="22"/>
        </w:rPr>
        <w:t xml:space="preserve">is faxed </w:t>
      </w:r>
      <w:r>
        <w:rPr>
          <w:rFonts w:ascii="Arial" w:hAnsi="Arial" w:cs="Arial"/>
          <w:sz w:val="22"/>
          <w:szCs w:val="22"/>
        </w:rPr>
        <w:t xml:space="preserve">to the patient’s provider for review.  The designated </w:t>
      </w:r>
      <w:r w:rsidR="00021182">
        <w:rPr>
          <w:rFonts w:ascii="Arial" w:hAnsi="Arial" w:cs="Arial"/>
          <w:sz w:val="22"/>
          <w:szCs w:val="22"/>
        </w:rPr>
        <w:t xml:space="preserve">palliative care </w:t>
      </w:r>
      <w:r>
        <w:rPr>
          <w:rFonts w:ascii="Arial" w:hAnsi="Arial" w:cs="Arial"/>
          <w:sz w:val="22"/>
          <w:szCs w:val="22"/>
        </w:rPr>
        <w:t>team member contacts the patient’s MD to discuss palliative care recommendations</w:t>
      </w:r>
      <w:r w:rsidR="002D7B07">
        <w:rPr>
          <w:rFonts w:ascii="Arial" w:hAnsi="Arial" w:cs="Arial"/>
          <w:sz w:val="22"/>
          <w:szCs w:val="22"/>
        </w:rPr>
        <w:t xml:space="preserve"> for pain and symptom management</w:t>
      </w:r>
      <w:r>
        <w:rPr>
          <w:rFonts w:ascii="Arial" w:hAnsi="Arial" w:cs="Arial"/>
          <w:sz w:val="22"/>
          <w:szCs w:val="22"/>
        </w:rPr>
        <w:t>.</w:t>
      </w:r>
      <w:r w:rsidR="002D7B07" w:rsidRPr="002D7B07">
        <w:rPr>
          <w:rFonts w:ascii="Arial" w:hAnsi="Arial" w:cs="Arial"/>
          <w:sz w:val="22"/>
          <w:szCs w:val="22"/>
        </w:rPr>
        <w:t xml:space="preserve"> </w:t>
      </w:r>
    </w:p>
    <w:p w14:paraId="6E5DCDAB" w14:textId="77777777" w:rsidR="000E664F" w:rsidRDefault="002D7B07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If spiritual and/or psychosocial issues are identified, physician’s orders may be requested for chaplain and/or social work services.</w:t>
      </w:r>
    </w:p>
    <w:p w14:paraId="1FA80D43" w14:textId="77777777" w:rsidR="000E664F" w:rsidRDefault="00596364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 w:rsidRPr="000E664F">
        <w:rPr>
          <w:rFonts w:ascii="Arial" w:hAnsi="Arial" w:cs="Arial"/>
          <w:sz w:val="22"/>
          <w:szCs w:val="22"/>
        </w:rPr>
        <w:t>The patient’s palliative</w:t>
      </w:r>
      <w:r w:rsidR="002D7B07" w:rsidRPr="000E664F">
        <w:rPr>
          <w:rFonts w:ascii="Arial" w:hAnsi="Arial" w:cs="Arial"/>
          <w:sz w:val="22"/>
          <w:szCs w:val="22"/>
        </w:rPr>
        <w:t xml:space="preserve"> and/or </w:t>
      </w:r>
      <w:r w:rsidRPr="000E664F">
        <w:rPr>
          <w:rFonts w:ascii="Arial" w:hAnsi="Arial" w:cs="Arial"/>
          <w:sz w:val="22"/>
          <w:szCs w:val="22"/>
        </w:rPr>
        <w:t xml:space="preserve">hospice needs are discussed at the next Team Conference </w:t>
      </w:r>
      <w:r w:rsidR="000E664F" w:rsidRPr="000E664F">
        <w:rPr>
          <w:rFonts w:ascii="Arial" w:hAnsi="Arial" w:cs="Arial"/>
          <w:sz w:val="22"/>
          <w:szCs w:val="22"/>
        </w:rPr>
        <w:t xml:space="preserve">   </w:t>
      </w:r>
      <w:r w:rsidRPr="000E664F">
        <w:rPr>
          <w:rFonts w:ascii="Arial" w:hAnsi="Arial" w:cs="Arial"/>
          <w:sz w:val="22"/>
          <w:szCs w:val="22"/>
        </w:rPr>
        <w:t>with both the IHC and IH nurse present</w:t>
      </w:r>
    </w:p>
    <w:p w14:paraId="0D118BCD" w14:textId="77777777" w:rsidR="00C30FDE" w:rsidRDefault="000E664F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list of palliative patients is added to the standard Team Conference agenda, with patient </w:t>
      </w:r>
      <w:r>
        <w:rPr>
          <w:rFonts w:ascii="Arial" w:hAnsi="Arial" w:cs="Arial"/>
          <w:sz w:val="22"/>
          <w:szCs w:val="22"/>
        </w:rPr>
        <w:lastRenderedPageBreak/>
        <w:t xml:space="preserve">status and optimal </w:t>
      </w:r>
      <w:r w:rsidR="00ED5B07">
        <w:rPr>
          <w:rFonts w:ascii="Arial" w:hAnsi="Arial" w:cs="Arial"/>
          <w:sz w:val="22"/>
          <w:szCs w:val="22"/>
        </w:rPr>
        <w:t>bridging</w:t>
      </w:r>
      <w:r>
        <w:rPr>
          <w:rFonts w:ascii="Arial" w:hAnsi="Arial" w:cs="Arial"/>
          <w:sz w:val="22"/>
          <w:szCs w:val="22"/>
        </w:rPr>
        <w:t xml:space="preserve"> to hospice discussed weekly.</w:t>
      </w:r>
    </w:p>
    <w:p w14:paraId="752CDD62" w14:textId="77777777" w:rsidR="006A39DA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IHC nurse remains as the patient’s primary care manager, implementing the recommendations specified in the Palliative Care Consult.</w:t>
      </w:r>
    </w:p>
    <w:p w14:paraId="5535F55B" w14:textId="77777777" w:rsidR="00C30FDE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Palliative Care team member(s) make follow-up visits every 60 days or as needed.  More frequent visits will be made if medically necessary or if patient evaluation is needed.</w:t>
      </w:r>
    </w:p>
    <w:p w14:paraId="12128E89" w14:textId="77777777" w:rsidR="00C30FDE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Palliative Care will be provided until one or more of the following events occur:</w:t>
      </w:r>
    </w:p>
    <w:p w14:paraId="6CF2D584" w14:textId="77777777"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The patient converts to the hospice benefit.</w:t>
      </w:r>
    </w:p>
    <w:p w14:paraId="3AF60830" w14:textId="77777777"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 The patient/family no longer meet the palliative care criteria or do not agree with</w:t>
      </w:r>
    </w:p>
    <w:p w14:paraId="0BA4EE2F" w14:textId="77777777"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 palliative care goals.</w:t>
      </w:r>
    </w:p>
    <w:p w14:paraId="51524542" w14:textId="549E4602"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The patient’s condition </w:t>
      </w:r>
      <w:r w:rsidR="00194B07">
        <w:rPr>
          <w:rFonts w:ascii="Arial" w:hAnsi="Arial" w:cs="Arial"/>
          <w:sz w:val="22"/>
          <w:szCs w:val="22"/>
        </w:rPr>
        <w:t>stabilizes,</w:t>
      </w:r>
      <w:r>
        <w:rPr>
          <w:rFonts w:ascii="Arial" w:hAnsi="Arial" w:cs="Arial"/>
          <w:sz w:val="22"/>
          <w:szCs w:val="22"/>
        </w:rPr>
        <w:t xml:space="preserve"> or symptoms are under control with minimal </w:t>
      </w:r>
    </w:p>
    <w:p w14:paraId="5C37DA0E" w14:textId="77777777"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risk of decline.</w:t>
      </w:r>
    </w:p>
    <w:p w14:paraId="65B52632" w14:textId="77777777" w:rsidR="00C30FDE" w:rsidRPr="000E664F" w:rsidRDefault="00C30FDE" w:rsidP="00C30FDE">
      <w:pPr>
        <w:rPr>
          <w:rFonts w:ascii="Arial" w:hAnsi="Arial" w:cs="Arial"/>
          <w:sz w:val="22"/>
          <w:szCs w:val="22"/>
        </w:rPr>
      </w:pPr>
    </w:p>
    <w:p w14:paraId="71874791" w14:textId="77777777" w:rsidR="0034462A" w:rsidRPr="00421676" w:rsidRDefault="0034462A">
      <w:pPr>
        <w:ind w:left="720" w:hanging="720"/>
        <w:rPr>
          <w:rFonts w:ascii="Arial" w:hAnsi="Arial" w:cs="Arial"/>
          <w:sz w:val="22"/>
          <w:szCs w:val="22"/>
        </w:rPr>
      </w:pPr>
    </w:p>
    <w:sectPr w:rsidR="0034462A" w:rsidRPr="00421676" w:rsidSect="0054420A">
      <w:footerReference w:type="default" r:id="rId7"/>
      <w:endnotePr>
        <w:numFmt w:val="decimal"/>
      </w:endnotePr>
      <w:pgSz w:w="12240" w:h="15840" w:code="1"/>
      <w:pgMar w:top="720" w:right="1008" w:bottom="720" w:left="1440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004F" w14:textId="77777777" w:rsidR="00C30FDE" w:rsidRDefault="00C30FDE">
      <w:r>
        <w:separator/>
      </w:r>
    </w:p>
  </w:endnote>
  <w:endnote w:type="continuationSeparator" w:id="0">
    <w:p w14:paraId="7B1F752A" w14:textId="77777777" w:rsidR="00C30FDE" w:rsidRDefault="00C3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243D" w14:textId="77777777" w:rsidR="00ED5B07" w:rsidRPr="00ED5B07" w:rsidRDefault="00ED5B07">
    <w:pPr>
      <w:pStyle w:val="Footer"/>
      <w:rPr>
        <w:sz w:val="16"/>
        <w:szCs w:val="16"/>
      </w:rPr>
    </w:pPr>
    <w:r>
      <w:rPr>
        <w:sz w:val="16"/>
        <w:szCs w:val="16"/>
      </w:rPr>
      <w:t>G:\Policies and Procedures\Administrative Policy and Procedure Manual\Provision of Care, Treatment, &amp; Service\Palliative Care.doc</w:t>
    </w:r>
  </w:p>
  <w:p w14:paraId="1D4F3718" w14:textId="77777777" w:rsidR="00ED5B07" w:rsidRDefault="00ED5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8C18" w14:textId="77777777" w:rsidR="00C30FDE" w:rsidRDefault="00C30FDE">
      <w:r>
        <w:separator/>
      </w:r>
    </w:p>
  </w:footnote>
  <w:footnote w:type="continuationSeparator" w:id="0">
    <w:p w14:paraId="47E6DC46" w14:textId="77777777" w:rsidR="00C30FDE" w:rsidRDefault="00C3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11AAD"/>
    <w:multiLevelType w:val="hybridMultilevel"/>
    <w:tmpl w:val="6F84B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85F08"/>
    <w:multiLevelType w:val="hybridMultilevel"/>
    <w:tmpl w:val="DF044E06"/>
    <w:lvl w:ilvl="0" w:tplc="E11225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A3E"/>
    <w:multiLevelType w:val="multilevel"/>
    <w:tmpl w:val="3F4E0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FB361A"/>
    <w:multiLevelType w:val="hybridMultilevel"/>
    <w:tmpl w:val="DBE46BE0"/>
    <w:lvl w:ilvl="0" w:tplc="BBE0F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1445"/>
    <w:multiLevelType w:val="hybridMultilevel"/>
    <w:tmpl w:val="BF3CD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95B79"/>
    <w:multiLevelType w:val="hybridMultilevel"/>
    <w:tmpl w:val="72663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BE0F7F"/>
    <w:multiLevelType w:val="hybridMultilevel"/>
    <w:tmpl w:val="53CAFB22"/>
    <w:lvl w:ilvl="0" w:tplc="E11225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EC0"/>
    <w:multiLevelType w:val="hybridMultilevel"/>
    <w:tmpl w:val="13EC9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6FFF"/>
    <w:multiLevelType w:val="hybridMultilevel"/>
    <w:tmpl w:val="B9A0C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B7860"/>
    <w:multiLevelType w:val="hybridMultilevel"/>
    <w:tmpl w:val="8758AE80"/>
    <w:lvl w:ilvl="0" w:tplc="4C582F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6F0E"/>
    <w:multiLevelType w:val="hybridMultilevel"/>
    <w:tmpl w:val="3F4E0A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9"/>
  </w:num>
  <w:num w:numId="7">
    <w:abstractNumId w:val="8"/>
  </w:num>
  <w:num w:numId="8">
    <w:abstractNumId w:val="8"/>
  </w:num>
  <w:num w:numId="9">
    <w:abstractNumId w:val="14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D6"/>
    <w:rsid w:val="00016E0E"/>
    <w:rsid w:val="00021182"/>
    <w:rsid w:val="00034393"/>
    <w:rsid w:val="000C26D7"/>
    <w:rsid w:val="000E664F"/>
    <w:rsid w:val="001533C8"/>
    <w:rsid w:val="001704D4"/>
    <w:rsid w:val="00194B07"/>
    <w:rsid w:val="002534ED"/>
    <w:rsid w:val="00260A96"/>
    <w:rsid w:val="002D7B07"/>
    <w:rsid w:val="002F17D8"/>
    <w:rsid w:val="00314625"/>
    <w:rsid w:val="0034462A"/>
    <w:rsid w:val="00421676"/>
    <w:rsid w:val="00442353"/>
    <w:rsid w:val="00456052"/>
    <w:rsid w:val="0049438D"/>
    <w:rsid w:val="005023B2"/>
    <w:rsid w:val="0054144C"/>
    <w:rsid w:val="0054420A"/>
    <w:rsid w:val="00561C17"/>
    <w:rsid w:val="005843C6"/>
    <w:rsid w:val="00596364"/>
    <w:rsid w:val="006019E8"/>
    <w:rsid w:val="006A39DA"/>
    <w:rsid w:val="006D5CB7"/>
    <w:rsid w:val="006E31B7"/>
    <w:rsid w:val="007402CC"/>
    <w:rsid w:val="00757E7F"/>
    <w:rsid w:val="007B73CD"/>
    <w:rsid w:val="007D5903"/>
    <w:rsid w:val="007E44D3"/>
    <w:rsid w:val="00845B56"/>
    <w:rsid w:val="00847B0D"/>
    <w:rsid w:val="00880977"/>
    <w:rsid w:val="008B005F"/>
    <w:rsid w:val="008D37C2"/>
    <w:rsid w:val="008D3C88"/>
    <w:rsid w:val="008D5D89"/>
    <w:rsid w:val="00936633"/>
    <w:rsid w:val="00984207"/>
    <w:rsid w:val="009B5EE4"/>
    <w:rsid w:val="00A05624"/>
    <w:rsid w:val="00A5792D"/>
    <w:rsid w:val="00AC13D6"/>
    <w:rsid w:val="00AD7D45"/>
    <w:rsid w:val="00AE5DF1"/>
    <w:rsid w:val="00B377AB"/>
    <w:rsid w:val="00B95681"/>
    <w:rsid w:val="00BE333E"/>
    <w:rsid w:val="00C30FDE"/>
    <w:rsid w:val="00C37030"/>
    <w:rsid w:val="00C43FAA"/>
    <w:rsid w:val="00C45DA2"/>
    <w:rsid w:val="00C62F65"/>
    <w:rsid w:val="00C644B0"/>
    <w:rsid w:val="00C730E1"/>
    <w:rsid w:val="00DB33F3"/>
    <w:rsid w:val="00E61E3E"/>
    <w:rsid w:val="00E86BF8"/>
    <w:rsid w:val="00EB483F"/>
    <w:rsid w:val="00ED3E09"/>
    <w:rsid w:val="00ED5B07"/>
    <w:rsid w:val="00ED633B"/>
    <w:rsid w:val="00FE27DA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8C694"/>
  <w15:docId w15:val="{7129A8A9-AE90-4CF3-8AC8-AB05B027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420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4420A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54420A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420A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54420A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54420A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0A"/>
  </w:style>
  <w:style w:type="paragraph" w:customStyle="1" w:styleId="Level1">
    <w:name w:val="Level 1"/>
    <w:basedOn w:val="Normal"/>
    <w:rsid w:val="0054420A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5442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20A"/>
  </w:style>
  <w:style w:type="paragraph" w:customStyle="1" w:styleId="PPTitle">
    <w:name w:val="P&amp;PTitle"/>
    <w:basedOn w:val="Heading1"/>
    <w:rsid w:val="0054420A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54420A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54420A"/>
    <w:pPr>
      <w:ind w:left="720" w:hanging="720"/>
    </w:pPr>
  </w:style>
  <w:style w:type="paragraph" w:styleId="BalloonText">
    <w:name w:val="Balloon Text"/>
    <w:basedOn w:val="Normal"/>
    <w:link w:val="BalloonTextChar"/>
    <w:rsid w:val="0084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56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740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2C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4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C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30F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5B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\Local%20Settings\Temporary%20Internet%20Files\Content.IE5\2XCDIHAD\Policy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Policy_Template[1]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sggunter</dc:creator>
  <cp:lastModifiedBy>Stephen Akeredolu</cp:lastModifiedBy>
  <cp:revision>4</cp:revision>
  <cp:lastPrinted>2020-03-12T14:31:00Z</cp:lastPrinted>
  <dcterms:created xsi:type="dcterms:W3CDTF">2019-03-04T15:06:00Z</dcterms:created>
  <dcterms:modified xsi:type="dcterms:W3CDTF">2020-06-18T13:45:00Z</dcterms:modified>
</cp:coreProperties>
</file>