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9"/>
        <w:gridCol w:w="2695"/>
        <w:gridCol w:w="4260"/>
      </w:tblGrid>
      <w:tr w:rsidR="00D3793D" w:rsidRPr="00CB7FD0" w14:paraId="257ADEFB" w14:textId="77777777" w:rsidTr="00D3793D">
        <w:trPr>
          <w:cantSplit/>
          <w:trHeight w:val="321"/>
        </w:trPr>
        <w:tc>
          <w:tcPr>
            <w:tcW w:w="3979" w:type="dxa"/>
            <w:vMerge w:val="restart"/>
            <w:tcBorders>
              <w:top w:val="single" w:sz="4" w:space="0" w:color="auto"/>
              <w:left w:val="single" w:sz="4" w:space="0" w:color="auto"/>
              <w:right w:val="single" w:sz="4" w:space="0" w:color="auto"/>
            </w:tcBorders>
          </w:tcPr>
          <w:p w14:paraId="73FC5963" w14:textId="77777777" w:rsidR="00D3793D" w:rsidRPr="00CB7FD0" w:rsidRDefault="00D3793D">
            <w:pPr>
              <w:pStyle w:val="Heading3"/>
              <w:rPr>
                <w:snapToGrid w:val="0"/>
                <w:sz w:val="24"/>
                <w:szCs w:val="24"/>
              </w:rPr>
            </w:pPr>
            <w:r w:rsidRPr="00D3793D">
              <w:rPr>
                <w:snapToGrid w:val="0"/>
                <w:sz w:val="36"/>
                <w:szCs w:val="24"/>
              </w:rPr>
              <w:t>Discharge</w:t>
            </w:r>
            <w:r w:rsidR="00D062C0">
              <w:rPr>
                <w:snapToGrid w:val="0"/>
                <w:sz w:val="36"/>
                <w:szCs w:val="24"/>
              </w:rPr>
              <w:t xml:space="preserve"> (Home </w:t>
            </w:r>
            <w:r w:rsidR="006168CC">
              <w:rPr>
                <w:snapToGrid w:val="0"/>
                <w:sz w:val="36"/>
                <w:szCs w:val="24"/>
              </w:rPr>
              <w:t xml:space="preserve">Health </w:t>
            </w:r>
            <w:r w:rsidR="00D062C0">
              <w:rPr>
                <w:snapToGrid w:val="0"/>
                <w:sz w:val="36"/>
                <w:szCs w:val="24"/>
              </w:rPr>
              <w:t>Care)</w:t>
            </w:r>
          </w:p>
        </w:tc>
        <w:tc>
          <w:tcPr>
            <w:tcW w:w="2695" w:type="dxa"/>
            <w:tcBorders>
              <w:top w:val="single" w:sz="4" w:space="0" w:color="auto"/>
              <w:left w:val="single" w:sz="4" w:space="0" w:color="auto"/>
              <w:bottom w:val="single" w:sz="4" w:space="0" w:color="auto"/>
              <w:right w:val="nil"/>
            </w:tcBorders>
          </w:tcPr>
          <w:p w14:paraId="32FE1A4F" w14:textId="77777777" w:rsidR="00D3793D" w:rsidRPr="00CB7FD0" w:rsidRDefault="00D3793D">
            <w:pPr>
              <w:spacing w:before="40"/>
              <w:rPr>
                <w:rFonts w:ascii="Arial" w:hAnsi="Arial" w:cs="Arial"/>
                <w:b/>
                <w:bCs/>
                <w:szCs w:val="24"/>
              </w:rPr>
            </w:pPr>
            <w:r w:rsidRPr="0068727D">
              <w:rPr>
                <w:rFonts w:ascii="Arial" w:hAnsi="Arial" w:cs="Arial"/>
                <w:b/>
                <w:bCs/>
                <w:szCs w:val="24"/>
              </w:rPr>
              <w:t>Last Revision</w:t>
            </w:r>
            <w:r>
              <w:rPr>
                <w:rFonts w:ascii="Arial" w:hAnsi="Arial" w:cs="Arial"/>
                <w:szCs w:val="24"/>
              </w:rPr>
              <w:t>:</w:t>
            </w:r>
            <w:r w:rsidRPr="0068727D">
              <w:rPr>
                <w:rFonts w:ascii="Arial" w:hAnsi="Arial" w:cs="Arial"/>
                <w:szCs w:val="24"/>
              </w:rPr>
              <w:t xml:space="preserve"> </w:t>
            </w:r>
          </w:p>
        </w:tc>
        <w:tc>
          <w:tcPr>
            <w:tcW w:w="4260" w:type="dxa"/>
            <w:tcBorders>
              <w:top w:val="single" w:sz="4" w:space="0" w:color="auto"/>
              <w:left w:val="nil"/>
              <w:bottom w:val="single" w:sz="4" w:space="0" w:color="auto"/>
              <w:right w:val="single" w:sz="4" w:space="0" w:color="auto"/>
            </w:tcBorders>
          </w:tcPr>
          <w:p w14:paraId="59441F8A" w14:textId="61C02B3B" w:rsidR="00D3793D" w:rsidRPr="00CB7FD0" w:rsidRDefault="00762AA1" w:rsidP="00E549F7">
            <w:pPr>
              <w:spacing w:before="40"/>
              <w:rPr>
                <w:rFonts w:ascii="Arial" w:hAnsi="Arial" w:cs="Arial"/>
                <w:szCs w:val="24"/>
              </w:rPr>
            </w:pPr>
            <w:r>
              <w:rPr>
                <w:rFonts w:ascii="Arial" w:hAnsi="Arial" w:cs="Arial"/>
                <w:szCs w:val="24"/>
              </w:rPr>
              <w:t>February</w:t>
            </w:r>
            <w:r w:rsidR="00D15D6A">
              <w:rPr>
                <w:rFonts w:ascii="Arial" w:hAnsi="Arial" w:cs="Arial"/>
                <w:szCs w:val="24"/>
              </w:rPr>
              <w:t xml:space="preserve"> 20</w:t>
            </w:r>
            <w:r>
              <w:rPr>
                <w:rFonts w:ascii="Arial" w:hAnsi="Arial" w:cs="Arial"/>
                <w:szCs w:val="24"/>
              </w:rPr>
              <w:t>20</w:t>
            </w:r>
          </w:p>
        </w:tc>
      </w:tr>
      <w:tr w:rsidR="00D3793D" w:rsidRPr="00CB7FD0" w14:paraId="3E9ED281" w14:textId="77777777" w:rsidTr="00D3793D">
        <w:trPr>
          <w:cantSplit/>
          <w:trHeight w:val="321"/>
        </w:trPr>
        <w:tc>
          <w:tcPr>
            <w:tcW w:w="3979" w:type="dxa"/>
            <w:vMerge/>
            <w:tcBorders>
              <w:left w:val="single" w:sz="4" w:space="0" w:color="auto"/>
              <w:right w:val="single" w:sz="4" w:space="0" w:color="auto"/>
            </w:tcBorders>
          </w:tcPr>
          <w:p w14:paraId="75C90199" w14:textId="77777777" w:rsidR="00D3793D" w:rsidRPr="0068727D" w:rsidRDefault="00D3793D">
            <w:pPr>
              <w:pStyle w:val="Heading3"/>
              <w:rPr>
                <w:snapToGrid w:val="0"/>
                <w:sz w:val="24"/>
                <w:szCs w:val="24"/>
              </w:rPr>
            </w:pPr>
          </w:p>
        </w:tc>
        <w:tc>
          <w:tcPr>
            <w:tcW w:w="2695" w:type="dxa"/>
            <w:tcBorders>
              <w:top w:val="single" w:sz="4" w:space="0" w:color="auto"/>
              <w:left w:val="single" w:sz="4" w:space="0" w:color="auto"/>
              <w:bottom w:val="single" w:sz="4" w:space="0" w:color="auto"/>
              <w:right w:val="nil"/>
            </w:tcBorders>
          </w:tcPr>
          <w:p w14:paraId="3B4F302F" w14:textId="77777777" w:rsidR="00D3793D" w:rsidRPr="0068727D" w:rsidRDefault="00D3793D">
            <w:pPr>
              <w:spacing w:before="40"/>
              <w:rPr>
                <w:rFonts w:ascii="Arial" w:hAnsi="Arial" w:cs="Arial"/>
                <w:b/>
                <w:bCs/>
                <w:szCs w:val="24"/>
              </w:rPr>
            </w:pPr>
            <w:r>
              <w:rPr>
                <w:rFonts w:ascii="Arial" w:hAnsi="Arial" w:cs="Arial"/>
                <w:b/>
                <w:bCs/>
                <w:szCs w:val="24"/>
              </w:rPr>
              <w:t>Last Reviewed:</w:t>
            </w:r>
          </w:p>
        </w:tc>
        <w:tc>
          <w:tcPr>
            <w:tcW w:w="4260" w:type="dxa"/>
            <w:tcBorders>
              <w:top w:val="single" w:sz="4" w:space="0" w:color="auto"/>
              <w:left w:val="nil"/>
              <w:bottom w:val="single" w:sz="4" w:space="0" w:color="auto"/>
              <w:right w:val="single" w:sz="4" w:space="0" w:color="auto"/>
            </w:tcBorders>
          </w:tcPr>
          <w:p w14:paraId="67F8609A" w14:textId="27943738" w:rsidR="00D3793D" w:rsidRPr="0068727D" w:rsidRDefault="00762AA1" w:rsidP="00927CBC">
            <w:pPr>
              <w:spacing w:before="40"/>
              <w:rPr>
                <w:rFonts w:ascii="Arial" w:hAnsi="Arial" w:cs="Arial"/>
                <w:szCs w:val="24"/>
              </w:rPr>
            </w:pPr>
            <w:r>
              <w:rPr>
                <w:rFonts w:ascii="Arial" w:hAnsi="Arial" w:cs="Arial"/>
                <w:szCs w:val="24"/>
              </w:rPr>
              <w:t>F</w:t>
            </w:r>
            <w:r w:rsidR="00B364E4">
              <w:rPr>
                <w:rFonts w:ascii="Arial" w:hAnsi="Arial" w:cs="Arial"/>
                <w:szCs w:val="24"/>
              </w:rPr>
              <w:t>e</w:t>
            </w:r>
            <w:r>
              <w:rPr>
                <w:rFonts w:ascii="Arial" w:hAnsi="Arial" w:cs="Arial"/>
                <w:szCs w:val="24"/>
              </w:rPr>
              <w:t>bruary</w:t>
            </w:r>
            <w:r w:rsidR="00D15D6A">
              <w:rPr>
                <w:rFonts w:ascii="Arial" w:hAnsi="Arial" w:cs="Arial"/>
                <w:szCs w:val="24"/>
              </w:rPr>
              <w:t xml:space="preserve"> 20</w:t>
            </w:r>
            <w:r>
              <w:rPr>
                <w:rFonts w:ascii="Arial" w:hAnsi="Arial" w:cs="Arial"/>
                <w:szCs w:val="24"/>
              </w:rPr>
              <w:t>20</w:t>
            </w:r>
          </w:p>
        </w:tc>
      </w:tr>
      <w:tr w:rsidR="00D3793D" w:rsidRPr="00CB7FD0" w14:paraId="2E488B58" w14:textId="77777777" w:rsidTr="00D3793D">
        <w:trPr>
          <w:cantSplit/>
          <w:trHeight w:val="489"/>
        </w:trPr>
        <w:tc>
          <w:tcPr>
            <w:tcW w:w="3979" w:type="dxa"/>
            <w:vMerge/>
            <w:tcBorders>
              <w:left w:val="single" w:sz="4" w:space="0" w:color="auto"/>
              <w:right w:val="single" w:sz="4" w:space="0" w:color="auto"/>
            </w:tcBorders>
          </w:tcPr>
          <w:p w14:paraId="6DFE818B" w14:textId="77777777" w:rsidR="00D3793D" w:rsidRPr="00CB7FD0" w:rsidRDefault="00D3793D">
            <w:pPr>
              <w:pStyle w:val="Heading1"/>
              <w:spacing w:before="120" w:line="360" w:lineRule="exact"/>
              <w:ind w:left="259"/>
              <w:rPr>
                <w:rFonts w:ascii="Arial" w:hAnsi="Arial" w:cs="Arial"/>
                <w:szCs w:val="24"/>
              </w:rPr>
            </w:pPr>
          </w:p>
        </w:tc>
        <w:tc>
          <w:tcPr>
            <w:tcW w:w="2695" w:type="dxa"/>
            <w:tcBorders>
              <w:top w:val="single" w:sz="4" w:space="0" w:color="auto"/>
              <w:left w:val="single" w:sz="4" w:space="0" w:color="auto"/>
              <w:bottom w:val="single" w:sz="4" w:space="0" w:color="auto"/>
              <w:right w:val="nil"/>
            </w:tcBorders>
          </w:tcPr>
          <w:p w14:paraId="57BC93CD" w14:textId="77777777" w:rsidR="00D3793D" w:rsidRPr="00CB7FD0" w:rsidRDefault="00D3793D" w:rsidP="00AF77B5">
            <w:pPr>
              <w:spacing w:before="40"/>
              <w:rPr>
                <w:rFonts w:ascii="Arial" w:hAnsi="Arial" w:cs="Arial"/>
                <w:b/>
                <w:bCs/>
                <w:szCs w:val="24"/>
              </w:rPr>
            </w:pPr>
            <w:r w:rsidRPr="00DB309E">
              <w:rPr>
                <w:rFonts w:ascii="Arial" w:hAnsi="Arial" w:cs="Arial"/>
                <w:b/>
                <w:bCs/>
                <w:szCs w:val="24"/>
              </w:rPr>
              <w:t xml:space="preserve">Applies to the following THA Group of Companies: </w:t>
            </w:r>
          </w:p>
        </w:tc>
        <w:tc>
          <w:tcPr>
            <w:tcW w:w="4260" w:type="dxa"/>
            <w:tcBorders>
              <w:top w:val="single" w:sz="4" w:space="0" w:color="auto"/>
              <w:left w:val="nil"/>
              <w:bottom w:val="single" w:sz="4" w:space="0" w:color="auto"/>
              <w:right w:val="single" w:sz="4" w:space="0" w:color="auto"/>
            </w:tcBorders>
          </w:tcPr>
          <w:p w14:paraId="787F054C" w14:textId="77777777" w:rsidR="00D3793D" w:rsidRDefault="00D3793D" w:rsidP="00D062C0">
            <w:pPr>
              <w:pStyle w:val="ListParagraph"/>
              <w:numPr>
                <w:ilvl w:val="0"/>
                <w:numId w:val="36"/>
              </w:numPr>
              <w:rPr>
                <w:rFonts w:ascii="Arial" w:hAnsi="Arial" w:cs="Arial"/>
                <w:szCs w:val="24"/>
              </w:rPr>
            </w:pPr>
            <w:r w:rsidRPr="00D062C0">
              <w:rPr>
                <w:rFonts w:ascii="Arial" w:hAnsi="Arial" w:cs="Arial"/>
                <w:szCs w:val="24"/>
              </w:rPr>
              <w:t>Island Health Care</w:t>
            </w:r>
          </w:p>
          <w:p w14:paraId="3BFB2F0B" w14:textId="77777777" w:rsidR="00D062C0" w:rsidRPr="00D062C0" w:rsidRDefault="00D062C0" w:rsidP="00D062C0">
            <w:pPr>
              <w:pStyle w:val="ListParagraph"/>
              <w:numPr>
                <w:ilvl w:val="0"/>
                <w:numId w:val="36"/>
              </w:numPr>
              <w:rPr>
                <w:rFonts w:ascii="Arial" w:hAnsi="Arial" w:cs="Arial"/>
                <w:szCs w:val="24"/>
              </w:rPr>
            </w:pPr>
            <w:r w:rsidRPr="00762AA1">
              <w:rPr>
                <w:rFonts w:ascii="Arial" w:hAnsi="Arial" w:cs="Arial"/>
                <w:szCs w:val="24"/>
              </w:rPr>
              <w:t>RightHealth</w:t>
            </w:r>
            <w:r w:rsidRPr="00762AA1">
              <w:rPr>
                <w:rFonts w:ascii="Arial" w:hAnsi="Arial" w:cs="Arial"/>
                <w:szCs w:val="24"/>
                <w:vertAlign w:val="superscript"/>
              </w:rPr>
              <w:t>®</w:t>
            </w:r>
          </w:p>
        </w:tc>
      </w:tr>
      <w:tr w:rsidR="00D3793D" w:rsidRPr="00CB7FD0" w14:paraId="5DE2EA7A" w14:textId="77777777" w:rsidTr="00D3793D">
        <w:trPr>
          <w:cantSplit/>
          <w:trHeight w:val="1232"/>
        </w:trPr>
        <w:tc>
          <w:tcPr>
            <w:tcW w:w="3979" w:type="dxa"/>
            <w:vMerge/>
            <w:tcBorders>
              <w:left w:val="single" w:sz="4" w:space="0" w:color="auto"/>
              <w:bottom w:val="single" w:sz="4" w:space="0" w:color="auto"/>
              <w:right w:val="single" w:sz="4" w:space="0" w:color="auto"/>
            </w:tcBorders>
          </w:tcPr>
          <w:p w14:paraId="30167A59" w14:textId="77777777" w:rsidR="00D3793D" w:rsidRPr="00CB7FD0" w:rsidRDefault="00D3793D">
            <w:pPr>
              <w:pStyle w:val="Heading1"/>
              <w:spacing w:before="120" w:line="360" w:lineRule="exact"/>
              <w:ind w:left="259"/>
              <w:rPr>
                <w:rFonts w:ascii="Arial" w:hAnsi="Arial" w:cs="Arial"/>
                <w:szCs w:val="24"/>
              </w:rPr>
            </w:pPr>
          </w:p>
        </w:tc>
        <w:tc>
          <w:tcPr>
            <w:tcW w:w="2695" w:type="dxa"/>
            <w:tcBorders>
              <w:top w:val="single" w:sz="4" w:space="0" w:color="auto"/>
              <w:left w:val="single" w:sz="4" w:space="0" w:color="auto"/>
              <w:bottom w:val="single" w:sz="4" w:space="0" w:color="auto"/>
              <w:right w:val="nil"/>
            </w:tcBorders>
          </w:tcPr>
          <w:p w14:paraId="696077D4" w14:textId="77777777" w:rsidR="00D3793D" w:rsidRPr="00CB7FD0" w:rsidRDefault="00D3793D" w:rsidP="00982F50">
            <w:pPr>
              <w:spacing w:before="40"/>
              <w:rPr>
                <w:rFonts w:ascii="Arial" w:hAnsi="Arial" w:cs="Arial"/>
                <w:b/>
                <w:bCs/>
                <w:szCs w:val="24"/>
              </w:rPr>
            </w:pPr>
            <w:r w:rsidRPr="0068727D">
              <w:rPr>
                <w:rFonts w:ascii="Arial" w:hAnsi="Arial" w:cs="Arial"/>
                <w:b/>
                <w:bCs/>
                <w:szCs w:val="24"/>
              </w:rPr>
              <w:t xml:space="preserve">Included in the following THA </w:t>
            </w:r>
            <w:r>
              <w:rPr>
                <w:rFonts w:ascii="Arial" w:hAnsi="Arial" w:cs="Arial"/>
                <w:b/>
                <w:bCs/>
                <w:szCs w:val="24"/>
              </w:rPr>
              <w:t xml:space="preserve">Group </w:t>
            </w:r>
            <w:r w:rsidRPr="0068727D">
              <w:rPr>
                <w:rFonts w:ascii="Arial" w:hAnsi="Arial" w:cs="Arial"/>
                <w:b/>
                <w:bCs/>
                <w:szCs w:val="24"/>
              </w:rPr>
              <w:t>Manual:</w:t>
            </w:r>
          </w:p>
        </w:tc>
        <w:tc>
          <w:tcPr>
            <w:tcW w:w="4260" w:type="dxa"/>
            <w:tcBorders>
              <w:top w:val="single" w:sz="4" w:space="0" w:color="auto"/>
              <w:left w:val="nil"/>
              <w:bottom w:val="single" w:sz="4" w:space="0" w:color="auto"/>
              <w:right w:val="single" w:sz="4" w:space="0" w:color="auto"/>
            </w:tcBorders>
          </w:tcPr>
          <w:p w14:paraId="34E1F581" w14:textId="77777777" w:rsidR="00D3793D" w:rsidRPr="00CB7FD0" w:rsidRDefault="00D3793D" w:rsidP="00D3793D">
            <w:pPr>
              <w:rPr>
                <w:rFonts w:ascii="Arial" w:hAnsi="Arial" w:cs="Arial"/>
                <w:szCs w:val="24"/>
              </w:rPr>
            </w:pPr>
            <w:r w:rsidRPr="0068727D">
              <w:rPr>
                <w:rFonts w:ascii="Arial" w:hAnsi="Arial" w:cs="Arial"/>
                <w:szCs w:val="24"/>
              </w:rPr>
              <w:t xml:space="preserve">Administrative Policy </w:t>
            </w:r>
            <w:r>
              <w:rPr>
                <w:rFonts w:ascii="Arial" w:hAnsi="Arial" w:cs="Arial"/>
                <w:szCs w:val="24"/>
              </w:rPr>
              <w:t>&amp;</w:t>
            </w:r>
            <w:r w:rsidRPr="0068727D">
              <w:rPr>
                <w:rFonts w:ascii="Arial" w:hAnsi="Arial" w:cs="Arial"/>
                <w:szCs w:val="24"/>
              </w:rPr>
              <w:t xml:space="preserve"> Procedure Manual</w:t>
            </w:r>
          </w:p>
          <w:p w14:paraId="5B942882" w14:textId="77777777" w:rsidR="00D3793D" w:rsidRPr="00CB7FD0" w:rsidRDefault="00D3793D" w:rsidP="00D3793D">
            <w:pPr>
              <w:ind w:left="346"/>
              <w:rPr>
                <w:rFonts w:ascii="Arial" w:hAnsi="Arial" w:cs="Arial"/>
                <w:szCs w:val="24"/>
              </w:rPr>
            </w:pPr>
            <w:r>
              <w:rPr>
                <w:rFonts w:ascii="Arial" w:hAnsi="Arial" w:cs="Arial"/>
                <w:szCs w:val="24"/>
              </w:rPr>
              <w:t>P</w:t>
            </w:r>
            <w:r w:rsidRPr="0068727D">
              <w:rPr>
                <w:rFonts w:ascii="Arial" w:hAnsi="Arial" w:cs="Arial"/>
                <w:szCs w:val="24"/>
              </w:rPr>
              <w:t>rovision of Care, Treatment, &amp; Service</w:t>
            </w:r>
          </w:p>
        </w:tc>
      </w:tr>
    </w:tbl>
    <w:p w14:paraId="654A2FB2" w14:textId="77777777" w:rsidR="00FE59DF" w:rsidRPr="00D3793D" w:rsidRDefault="00FE59DF" w:rsidP="00D3793D">
      <w:pPr>
        <w:rPr>
          <w:rFonts w:ascii="Arial" w:hAnsi="Arial" w:cs="Arial"/>
          <w:b/>
          <w:szCs w:val="24"/>
          <w:u w:val="single"/>
        </w:rPr>
      </w:pPr>
    </w:p>
    <w:p w14:paraId="6A14B6A6" w14:textId="77777777" w:rsidR="00FE59DF" w:rsidRPr="00D3793D" w:rsidRDefault="0068727D" w:rsidP="00D3793D">
      <w:pPr>
        <w:pStyle w:val="Heading4"/>
        <w:ind w:right="0"/>
        <w:rPr>
          <w:rFonts w:ascii="Arial" w:hAnsi="Arial" w:cs="Arial"/>
          <w:sz w:val="24"/>
          <w:szCs w:val="24"/>
        </w:rPr>
      </w:pPr>
      <w:r w:rsidRPr="00D3793D">
        <w:rPr>
          <w:rFonts w:ascii="Arial" w:hAnsi="Arial" w:cs="Arial"/>
          <w:sz w:val="24"/>
          <w:szCs w:val="24"/>
        </w:rPr>
        <w:t xml:space="preserve">POLICY </w:t>
      </w:r>
    </w:p>
    <w:p w14:paraId="37AFE93A" w14:textId="77777777" w:rsidR="00FE59DF" w:rsidRPr="00D3793D" w:rsidRDefault="00FE59DF" w:rsidP="00D3793D">
      <w:pPr>
        <w:rPr>
          <w:rFonts w:ascii="Arial" w:hAnsi="Arial" w:cs="Arial"/>
          <w:szCs w:val="24"/>
        </w:rPr>
      </w:pPr>
    </w:p>
    <w:p w14:paraId="729337A0" w14:textId="77777777" w:rsidR="00FE59DF" w:rsidRPr="00D3793D" w:rsidRDefault="0068727D" w:rsidP="00D3793D">
      <w:pPr>
        <w:jc w:val="both"/>
        <w:rPr>
          <w:rFonts w:ascii="Arial" w:hAnsi="Arial" w:cs="Arial"/>
          <w:szCs w:val="24"/>
        </w:rPr>
      </w:pPr>
      <w:r w:rsidRPr="00D3793D">
        <w:rPr>
          <w:rFonts w:ascii="Arial" w:hAnsi="Arial" w:cs="Arial"/>
          <w:szCs w:val="24"/>
        </w:rPr>
        <w:t xml:space="preserve">Discharge planning is initiated at the time of admission and involves the </w:t>
      </w:r>
      <w:r w:rsidR="00D3793D">
        <w:rPr>
          <w:rFonts w:ascii="Arial" w:hAnsi="Arial" w:cs="Arial"/>
          <w:szCs w:val="24"/>
        </w:rPr>
        <w:t>patient</w:t>
      </w:r>
      <w:r w:rsidRPr="00D3793D">
        <w:rPr>
          <w:rFonts w:ascii="Arial" w:hAnsi="Arial" w:cs="Arial"/>
          <w:szCs w:val="24"/>
        </w:rPr>
        <w:t xml:space="preserve"> and/or caregiver.  Services are discontinued when identified goals are met or when 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no longer meets the criteria for services.</w:t>
      </w:r>
    </w:p>
    <w:p w14:paraId="14C9E200" w14:textId="77777777" w:rsidR="00FE59DF" w:rsidRPr="00D3793D" w:rsidRDefault="00FE59DF" w:rsidP="00D3793D">
      <w:pPr>
        <w:jc w:val="both"/>
        <w:rPr>
          <w:rFonts w:ascii="Arial" w:hAnsi="Arial" w:cs="Arial"/>
          <w:szCs w:val="24"/>
        </w:rPr>
      </w:pPr>
    </w:p>
    <w:p w14:paraId="1FEFCAA1" w14:textId="77777777" w:rsidR="00FE59DF" w:rsidRPr="00D3793D" w:rsidRDefault="0068727D" w:rsidP="00D3793D">
      <w:pPr>
        <w:jc w:val="both"/>
        <w:rPr>
          <w:rFonts w:ascii="Arial" w:hAnsi="Arial" w:cs="Arial"/>
          <w:szCs w:val="24"/>
        </w:rPr>
      </w:pPr>
      <w:r w:rsidRPr="00D3793D">
        <w:rPr>
          <w:rFonts w:ascii="Arial" w:hAnsi="Arial" w:cs="Arial"/>
          <w:szCs w:val="24"/>
        </w:rPr>
        <w:t>The physician, patient and/or caregiver are notified prior to discontinuation of services. If additional or ongoing care is indicated, efforts are made to assist with patient transfer to the appropriate agency or facility.</w:t>
      </w:r>
    </w:p>
    <w:p w14:paraId="4D3D57E8" w14:textId="77777777" w:rsidR="00FE59DF" w:rsidRPr="00D3793D" w:rsidRDefault="00FE59DF" w:rsidP="00D3793D">
      <w:pPr>
        <w:jc w:val="both"/>
        <w:rPr>
          <w:rFonts w:ascii="Arial" w:hAnsi="Arial" w:cs="Arial"/>
          <w:szCs w:val="24"/>
        </w:rPr>
      </w:pPr>
    </w:p>
    <w:p w14:paraId="45623BD1" w14:textId="77777777" w:rsidR="00FE59DF" w:rsidRPr="00D3793D" w:rsidRDefault="0068727D" w:rsidP="00D3793D">
      <w:pPr>
        <w:jc w:val="both"/>
        <w:rPr>
          <w:rFonts w:ascii="Arial" w:hAnsi="Arial" w:cs="Arial"/>
          <w:szCs w:val="24"/>
        </w:rPr>
      </w:pPr>
      <w:r w:rsidRPr="00D3793D">
        <w:rPr>
          <w:rFonts w:ascii="Arial" w:hAnsi="Arial" w:cs="Arial"/>
          <w:b/>
          <w:szCs w:val="24"/>
          <w:u w:val="single"/>
        </w:rPr>
        <w:t xml:space="preserve">PURPOSE </w:t>
      </w:r>
    </w:p>
    <w:p w14:paraId="649DA747" w14:textId="77777777" w:rsidR="00FE59DF" w:rsidRPr="00D3793D" w:rsidRDefault="00FE59DF" w:rsidP="00D3793D">
      <w:pPr>
        <w:jc w:val="both"/>
        <w:rPr>
          <w:rFonts w:ascii="Arial" w:hAnsi="Arial" w:cs="Arial"/>
          <w:szCs w:val="24"/>
        </w:rPr>
      </w:pPr>
    </w:p>
    <w:p w14:paraId="0F272D48" w14:textId="77777777" w:rsidR="00FE59DF" w:rsidRPr="00D3793D" w:rsidRDefault="0068727D" w:rsidP="00D3793D">
      <w:pPr>
        <w:numPr>
          <w:ilvl w:val="0"/>
          <w:numId w:val="4"/>
        </w:numPr>
        <w:jc w:val="both"/>
        <w:rPr>
          <w:rFonts w:ascii="Arial" w:hAnsi="Arial" w:cs="Arial"/>
          <w:szCs w:val="24"/>
        </w:rPr>
      </w:pPr>
      <w:r w:rsidRPr="00D3793D">
        <w:rPr>
          <w:rFonts w:ascii="Arial" w:hAnsi="Arial" w:cs="Arial"/>
          <w:szCs w:val="24"/>
        </w:rPr>
        <w:t xml:space="preserve">To outline the criteria for discharge from home health </w:t>
      </w:r>
      <w:r w:rsidR="00D3793D">
        <w:rPr>
          <w:rFonts w:ascii="Arial" w:hAnsi="Arial" w:cs="Arial"/>
          <w:szCs w:val="24"/>
        </w:rPr>
        <w:t>and</w:t>
      </w:r>
      <w:r w:rsidR="00D3793D" w:rsidRPr="00D3793D">
        <w:rPr>
          <w:rFonts w:ascii="Arial" w:hAnsi="Arial" w:cs="Arial"/>
          <w:szCs w:val="24"/>
        </w:rPr>
        <w:t xml:space="preserve"> </w:t>
      </w:r>
      <w:r w:rsidRPr="00D3793D">
        <w:rPr>
          <w:rFonts w:ascii="Arial" w:hAnsi="Arial" w:cs="Arial"/>
          <w:szCs w:val="24"/>
        </w:rPr>
        <w:t>hospice services.</w:t>
      </w:r>
    </w:p>
    <w:p w14:paraId="6D00D881" w14:textId="47624411" w:rsidR="00FE59DF" w:rsidRPr="00D3793D" w:rsidRDefault="0068727D" w:rsidP="00D3793D">
      <w:pPr>
        <w:numPr>
          <w:ilvl w:val="0"/>
          <w:numId w:val="4"/>
        </w:numPr>
        <w:rPr>
          <w:rFonts w:ascii="Arial" w:hAnsi="Arial" w:cs="Arial"/>
          <w:spacing w:val="-2"/>
          <w:szCs w:val="24"/>
        </w:rPr>
      </w:pPr>
      <w:r w:rsidRPr="00D3793D">
        <w:rPr>
          <w:rFonts w:ascii="Arial" w:hAnsi="Arial" w:cs="Arial"/>
          <w:spacing w:val="-2"/>
          <w:szCs w:val="24"/>
        </w:rPr>
        <w:t>To define appropriate action when the patient no longer meets Medicare Conditions of Participation for homebo</w:t>
      </w:r>
      <w:r w:rsidR="001C3410" w:rsidRPr="00D3793D">
        <w:rPr>
          <w:rFonts w:ascii="Arial" w:hAnsi="Arial" w:cs="Arial"/>
          <w:spacing w:val="-2"/>
          <w:szCs w:val="24"/>
        </w:rPr>
        <w:t xml:space="preserve">und status or medical </w:t>
      </w:r>
      <w:r w:rsidR="00762AA1" w:rsidRPr="00D3793D">
        <w:rPr>
          <w:rFonts w:ascii="Arial" w:hAnsi="Arial" w:cs="Arial"/>
          <w:spacing w:val="-2"/>
          <w:szCs w:val="24"/>
        </w:rPr>
        <w:t>necessity, or</w:t>
      </w:r>
      <w:r w:rsidR="001C3410" w:rsidRPr="00D3793D">
        <w:rPr>
          <w:rFonts w:ascii="Arial" w:hAnsi="Arial" w:cs="Arial"/>
          <w:spacing w:val="-2"/>
          <w:szCs w:val="24"/>
        </w:rPr>
        <w:t xml:space="preserve"> chooses to discontinue (revoke) services.</w:t>
      </w:r>
    </w:p>
    <w:p w14:paraId="547EB34A" w14:textId="77777777" w:rsidR="00FE59DF" w:rsidRPr="00D3793D" w:rsidRDefault="0068727D" w:rsidP="00D3793D">
      <w:pPr>
        <w:numPr>
          <w:ilvl w:val="0"/>
          <w:numId w:val="4"/>
        </w:numPr>
        <w:rPr>
          <w:rFonts w:ascii="Arial" w:hAnsi="Arial" w:cs="Arial"/>
          <w:szCs w:val="24"/>
        </w:rPr>
      </w:pPr>
      <w:r w:rsidRPr="00D3793D">
        <w:rPr>
          <w:rFonts w:ascii="Arial" w:hAnsi="Arial" w:cs="Arial"/>
          <w:szCs w:val="24"/>
        </w:rPr>
        <w:t xml:space="preserve">To describe appropriate action when 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refuses to seek alternative care or services at discharge.</w:t>
      </w:r>
    </w:p>
    <w:p w14:paraId="1BB1036A" w14:textId="77777777" w:rsidR="00FE59DF" w:rsidRPr="00D3793D" w:rsidRDefault="0068727D" w:rsidP="00D3793D">
      <w:pPr>
        <w:numPr>
          <w:ilvl w:val="0"/>
          <w:numId w:val="4"/>
        </w:numPr>
        <w:jc w:val="both"/>
        <w:rPr>
          <w:rFonts w:ascii="Arial" w:hAnsi="Arial" w:cs="Arial"/>
          <w:szCs w:val="24"/>
        </w:rPr>
      </w:pPr>
      <w:r w:rsidRPr="00D3793D">
        <w:rPr>
          <w:rFonts w:ascii="Arial" w:hAnsi="Arial" w:cs="Arial"/>
          <w:szCs w:val="24"/>
        </w:rPr>
        <w:t>To list the required documentation to be included in the discharge summary.</w:t>
      </w:r>
    </w:p>
    <w:p w14:paraId="70DCB1B4" w14:textId="77777777" w:rsidR="00FE59DF" w:rsidRPr="00D3793D" w:rsidRDefault="0068727D" w:rsidP="00D3793D">
      <w:pPr>
        <w:jc w:val="both"/>
        <w:rPr>
          <w:rFonts w:ascii="Arial" w:hAnsi="Arial" w:cs="Arial"/>
          <w:szCs w:val="24"/>
        </w:rPr>
      </w:pPr>
      <w:r w:rsidRPr="00D3793D">
        <w:rPr>
          <w:rFonts w:ascii="Arial" w:hAnsi="Arial" w:cs="Arial"/>
          <w:szCs w:val="24"/>
        </w:rPr>
        <w:t xml:space="preserve"> </w:t>
      </w:r>
    </w:p>
    <w:p w14:paraId="5D9A2912" w14:textId="77777777" w:rsidR="00FE59DF" w:rsidRPr="00D3793D" w:rsidRDefault="0068727D" w:rsidP="00D3793D">
      <w:pPr>
        <w:pStyle w:val="Heading1"/>
        <w:ind w:right="0"/>
        <w:rPr>
          <w:rFonts w:ascii="Arial" w:hAnsi="Arial" w:cs="Arial"/>
          <w:szCs w:val="24"/>
        </w:rPr>
      </w:pPr>
      <w:r w:rsidRPr="00D3793D">
        <w:rPr>
          <w:rFonts w:ascii="Arial" w:hAnsi="Arial" w:cs="Arial"/>
          <w:szCs w:val="24"/>
        </w:rPr>
        <w:t>PROCEDURE</w:t>
      </w:r>
    </w:p>
    <w:p w14:paraId="7E2679EB" w14:textId="77777777" w:rsidR="00FE59DF" w:rsidRPr="00D3793D" w:rsidRDefault="00FE59DF" w:rsidP="00D3793D">
      <w:pPr>
        <w:rPr>
          <w:rFonts w:ascii="Arial" w:hAnsi="Arial" w:cs="Arial"/>
          <w:szCs w:val="24"/>
        </w:rPr>
      </w:pPr>
    </w:p>
    <w:p w14:paraId="2520192B" w14:textId="77777777" w:rsidR="002C2EBA" w:rsidRPr="00D3793D" w:rsidRDefault="00C07DA1" w:rsidP="00D3793D">
      <w:pPr>
        <w:rPr>
          <w:rFonts w:ascii="Arial" w:hAnsi="Arial" w:cs="Arial"/>
          <w:b/>
          <w:szCs w:val="24"/>
        </w:rPr>
      </w:pPr>
      <w:r>
        <w:rPr>
          <w:rFonts w:ascii="Arial" w:hAnsi="Arial" w:cs="Arial"/>
          <w:b/>
          <w:szCs w:val="24"/>
        </w:rPr>
        <w:t>DISCHARGE CRITERIA</w:t>
      </w:r>
      <w:r w:rsidR="0068727D" w:rsidRPr="00D3793D">
        <w:rPr>
          <w:rFonts w:ascii="Arial" w:hAnsi="Arial" w:cs="Arial"/>
          <w:b/>
          <w:szCs w:val="24"/>
        </w:rPr>
        <w:t>:</w:t>
      </w:r>
    </w:p>
    <w:p w14:paraId="5B725691" w14:textId="77777777" w:rsidR="002C2EBA" w:rsidRPr="00D3793D" w:rsidRDefault="002C2EBA" w:rsidP="00D3793D">
      <w:pPr>
        <w:rPr>
          <w:rFonts w:ascii="Arial" w:hAnsi="Arial" w:cs="Arial"/>
          <w:szCs w:val="24"/>
        </w:rPr>
      </w:pPr>
    </w:p>
    <w:p w14:paraId="4C6FF19C" w14:textId="77777777"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Pr="00D3793D">
        <w:rPr>
          <w:rFonts w:ascii="Arial" w:hAnsi="Arial" w:cs="Arial"/>
          <w:szCs w:val="24"/>
        </w:rPr>
        <w:t>’s health status no longer requires the skills of the home health care staff as determined by the assessment of a professional clinician.</w:t>
      </w:r>
    </w:p>
    <w:p w14:paraId="7D94CDF4" w14:textId="77777777" w:rsidR="009309BF" w:rsidRDefault="009309BF" w:rsidP="00C07DA1">
      <w:pPr>
        <w:numPr>
          <w:ilvl w:val="0"/>
          <w:numId w:val="6"/>
        </w:numPr>
        <w:tabs>
          <w:tab w:val="clear" w:pos="720"/>
        </w:tabs>
        <w:ind w:left="360"/>
        <w:rPr>
          <w:rFonts w:ascii="Arial" w:hAnsi="Arial" w:cs="Arial"/>
          <w:szCs w:val="24"/>
        </w:rPr>
      </w:pPr>
      <w:r>
        <w:rPr>
          <w:rFonts w:ascii="Arial" w:hAnsi="Arial" w:cs="Arial"/>
          <w:szCs w:val="24"/>
        </w:rPr>
        <w:t xml:space="preserve">The physician who is responsible for the home health plan of care and the organization agree that the measurable outcomes and goals set forth in the plan of care have been achieved, and the organization and the physician who is responsible for the home health plan of care agree that the patient no longer needs the organization’s services. </w:t>
      </w:r>
    </w:p>
    <w:p w14:paraId="50ADF324" w14:textId="77777777"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The organization is unable to provide services due to lack of appropriate staff</w:t>
      </w:r>
      <w:r w:rsidR="009309BF">
        <w:rPr>
          <w:rFonts w:ascii="Arial" w:hAnsi="Arial" w:cs="Arial"/>
          <w:szCs w:val="24"/>
        </w:rPr>
        <w:t xml:space="preserve"> or significant change in the patient’s acuity</w:t>
      </w:r>
      <w:r w:rsidRPr="00D3793D">
        <w:rPr>
          <w:rFonts w:ascii="Arial" w:hAnsi="Arial" w:cs="Arial"/>
          <w:szCs w:val="24"/>
        </w:rPr>
        <w:t xml:space="preserve"> to meet the </w:t>
      </w:r>
      <w:r w:rsidR="00D3793D">
        <w:rPr>
          <w:rFonts w:ascii="Arial" w:hAnsi="Arial" w:cs="Arial"/>
          <w:szCs w:val="24"/>
        </w:rPr>
        <w:t>patient</w:t>
      </w:r>
      <w:r w:rsidRPr="00D3793D">
        <w:rPr>
          <w:rFonts w:ascii="Arial" w:hAnsi="Arial" w:cs="Arial"/>
          <w:szCs w:val="24"/>
        </w:rPr>
        <w:t>’s special needs.</w:t>
      </w:r>
      <w:r w:rsidR="009309BF">
        <w:rPr>
          <w:rFonts w:ascii="Arial" w:hAnsi="Arial" w:cs="Arial"/>
          <w:szCs w:val="24"/>
        </w:rPr>
        <w:t xml:space="preserve">  The organization must arrange a safe and appropriate transfer to other care entities when the needs of the patient exceed the organization’s capabilities.</w:t>
      </w:r>
    </w:p>
    <w:p w14:paraId="3C557C54" w14:textId="77777777" w:rsidR="00D74644" w:rsidRPr="00C07DA1" w:rsidRDefault="00D74644" w:rsidP="00C07DA1">
      <w:pPr>
        <w:numPr>
          <w:ilvl w:val="0"/>
          <w:numId w:val="6"/>
        </w:numPr>
        <w:tabs>
          <w:tab w:val="clear" w:pos="720"/>
        </w:tabs>
        <w:ind w:left="360"/>
        <w:rPr>
          <w:rFonts w:ascii="Arial" w:hAnsi="Arial" w:cs="Arial"/>
          <w:spacing w:val="-2"/>
          <w:szCs w:val="24"/>
        </w:rPr>
      </w:pPr>
      <w:r w:rsidRPr="00C07DA1">
        <w:rPr>
          <w:rFonts w:ascii="Arial" w:hAnsi="Arial" w:cs="Arial"/>
          <w:spacing w:val="-2"/>
          <w:szCs w:val="24"/>
        </w:rPr>
        <w:t>The organization is unable to me</w:t>
      </w:r>
      <w:r w:rsidR="0080410B" w:rsidRPr="00C07DA1">
        <w:rPr>
          <w:rFonts w:ascii="Arial" w:hAnsi="Arial" w:cs="Arial"/>
          <w:spacing w:val="-2"/>
          <w:szCs w:val="24"/>
        </w:rPr>
        <w:t>e</w:t>
      </w:r>
      <w:r w:rsidRPr="00C07DA1">
        <w:rPr>
          <w:rFonts w:ascii="Arial" w:hAnsi="Arial" w:cs="Arial"/>
          <w:spacing w:val="-2"/>
          <w:szCs w:val="24"/>
        </w:rPr>
        <w:t>t the Face to Face Encounter requirements</w:t>
      </w:r>
      <w:r w:rsidR="006F517B" w:rsidRPr="00C07DA1">
        <w:rPr>
          <w:rFonts w:ascii="Arial" w:hAnsi="Arial" w:cs="Arial"/>
          <w:spacing w:val="-2"/>
          <w:szCs w:val="24"/>
        </w:rPr>
        <w:t xml:space="preserve"> for Medicare patients.</w:t>
      </w:r>
    </w:p>
    <w:p w14:paraId="368F6A99" w14:textId="77777777"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The patient</w:t>
      </w:r>
      <w:r w:rsidR="009309BF">
        <w:rPr>
          <w:rFonts w:ascii="Arial" w:hAnsi="Arial" w:cs="Arial"/>
          <w:szCs w:val="24"/>
        </w:rPr>
        <w:t xml:space="preserve"> refuses services or elects to be transferred or discharged</w:t>
      </w:r>
      <w:r w:rsidRPr="00D3793D">
        <w:rPr>
          <w:rFonts w:ascii="Arial" w:hAnsi="Arial" w:cs="Arial"/>
          <w:szCs w:val="24"/>
        </w:rPr>
        <w:t xml:space="preserve"> and/or physician requests discontinuation of services.</w:t>
      </w:r>
    </w:p>
    <w:p w14:paraId="36F93F62" w14:textId="77777777"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no longer meets admission criteria.</w:t>
      </w:r>
    </w:p>
    <w:p w14:paraId="1301573D" w14:textId="77777777"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 xml:space="preserve">and/or caregiver are unable to demonstrate </w:t>
      </w:r>
      <w:r w:rsidR="00927CBC" w:rsidRPr="00D3793D">
        <w:rPr>
          <w:rFonts w:ascii="Arial" w:hAnsi="Arial" w:cs="Arial"/>
          <w:szCs w:val="24"/>
        </w:rPr>
        <w:t xml:space="preserve">adherence to </w:t>
      </w:r>
      <w:r w:rsidRPr="00D3793D">
        <w:rPr>
          <w:rFonts w:ascii="Arial" w:hAnsi="Arial" w:cs="Arial"/>
          <w:szCs w:val="24"/>
        </w:rPr>
        <w:t>instructions, procedures, or physician follow-up visits.</w:t>
      </w:r>
    </w:p>
    <w:p w14:paraId="357C8153" w14:textId="77777777" w:rsidR="00FE59DF" w:rsidRPr="00D3793D" w:rsidRDefault="0068727D" w:rsidP="00C07DA1">
      <w:pPr>
        <w:numPr>
          <w:ilvl w:val="0"/>
          <w:numId w:val="6"/>
        </w:numPr>
        <w:tabs>
          <w:tab w:val="clear" w:pos="720"/>
        </w:tabs>
        <w:ind w:left="360"/>
        <w:rPr>
          <w:rFonts w:ascii="Arial" w:hAnsi="Arial" w:cs="Arial"/>
          <w:szCs w:val="24"/>
        </w:rPr>
      </w:pPr>
      <w:r w:rsidRPr="00B364E4">
        <w:rPr>
          <w:rFonts w:ascii="Arial" w:hAnsi="Arial" w:cs="Arial"/>
          <w:szCs w:val="24"/>
        </w:rPr>
        <w:t xml:space="preserve">The caregiver is unable, unwilling or incapable of providing the care necessary to meet the </w:t>
      </w:r>
      <w:r w:rsidR="00D3793D" w:rsidRPr="00B364E4">
        <w:rPr>
          <w:rFonts w:ascii="Arial" w:hAnsi="Arial" w:cs="Arial"/>
          <w:szCs w:val="24"/>
        </w:rPr>
        <w:lastRenderedPageBreak/>
        <w:t>patient</w:t>
      </w:r>
      <w:r w:rsidRPr="00B364E4">
        <w:rPr>
          <w:rFonts w:ascii="Arial" w:hAnsi="Arial" w:cs="Arial"/>
          <w:szCs w:val="24"/>
        </w:rPr>
        <w:t>’s therapeutic goals in the absence of home care staff</w:t>
      </w:r>
      <w:r w:rsidRPr="00B364E4">
        <w:rPr>
          <w:rFonts w:ascii="Arial" w:hAnsi="Arial" w:cs="Arial"/>
          <w:szCs w:val="24"/>
          <w:highlight w:val="yellow"/>
        </w:rPr>
        <w:t>.</w:t>
      </w:r>
    </w:p>
    <w:p w14:paraId="047A0F8B" w14:textId="77777777" w:rsidR="00D85962" w:rsidRDefault="00D85962" w:rsidP="00C07DA1">
      <w:pPr>
        <w:numPr>
          <w:ilvl w:val="0"/>
          <w:numId w:val="6"/>
        </w:numPr>
        <w:tabs>
          <w:tab w:val="clear" w:pos="720"/>
        </w:tabs>
        <w:ind w:left="360"/>
        <w:rPr>
          <w:rFonts w:ascii="Arial" w:hAnsi="Arial" w:cs="Arial"/>
          <w:szCs w:val="24"/>
        </w:rPr>
      </w:pPr>
      <w:r>
        <w:rPr>
          <w:rFonts w:ascii="Arial" w:hAnsi="Arial" w:cs="Arial"/>
          <w:szCs w:val="24"/>
        </w:rPr>
        <w:t>The organization determines that the patient’s (or other persons in the patient’s home) behavior is disruptive, abusive, or uncooperative to the extent that delivery of care to the patient or the ability of the organization to operate effectively is seriously impaired.  The organization follows established protocols before it discharges a patient for cause:</w:t>
      </w:r>
    </w:p>
    <w:p w14:paraId="59B2F86C" w14:textId="77777777" w:rsidR="00D85962" w:rsidRDefault="00D85962" w:rsidP="00D85962">
      <w:pPr>
        <w:ind w:left="360"/>
        <w:rPr>
          <w:rFonts w:ascii="Arial" w:hAnsi="Arial" w:cs="Arial"/>
          <w:szCs w:val="24"/>
        </w:rPr>
      </w:pPr>
      <w:r>
        <w:rPr>
          <w:rFonts w:ascii="Arial" w:hAnsi="Arial" w:cs="Arial"/>
          <w:szCs w:val="24"/>
        </w:rPr>
        <w:t>a.  Advise the patient, representative (if any), the physician(s) issuing orders for the home health plan of care, and the patient’s primary care practitioner or other health care professional who will be responsible for providing care and services to the patient after discharge that a discharge for cause is being considered and document in the client’s record;</w:t>
      </w:r>
    </w:p>
    <w:p w14:paraId="41F13887" w14:textId="77777777" w:rsidR="00D85962" w:rsidRDefault="00D85962" w:rsidP="00D85962">
      <w:pPr>
        <w:ind w:left="360"/>
        <w:rPr>
          <w:rFonts w:ascii="Arial" w:hAnsi="Arial" w:cs="Arial"/>
          <w:szCs w:val="24"/>
        </w:rPr>
      </w:pPr>
      <w:r>
        <w:rPr>
          <w:rFonts w:ascii="Arial" w:hAnsi="Arial" w:cs="Arial"/>
          <w:szCs w:val="24"/>
        </w:rPr>
        <w:t>b.  Make efforts to resolve the problem(s) presented by the patient’s behavior, the behavior of other persons in the patient’s home, or situation;</w:t>
      </w:r>
    </w:p>
    <w:p w14:paraId="5E125F18" w14:textId="77777777" w:rsidR="00D85962" w:rsidRDefault="00D85962" w:rsidP="00D85962">
      <w:pPr>
        <w:ind w:left="360"/>
        <w:rPr>
          <w:rFonts w:ascii="Arial" w:hAnsi="Arial" w:cs="Arial"/>
          <w:szCs w:val="24"/>
        </w:rPr>
      </w:pPr>
      <w:r>
        <w:rPr>
          <w:rFonts w:ascii="Arial" w:hAnsi="Arial" w:cs="Arial"/>
          <w:szCs w:val="24"/>
        </w:rPr>
        <w:t>c.  Provide the patient and representative, if any, with contact information for other agencies or providers who may be able to provide care; and</w:t>
      </w:r>
    </w:p>
    <w:p w14:paraId="01D70393" w14:textId="77777777" w:rsidR="00D85962" w:rsidRDefault="00D85962" w:rsidP="00D85962">
      <w:pPr>
        <w:ind w:left="360"/>
        <w:rPr>
          <w:rFonts w:ascii="Arial" w:hAnsi="Arial" w:cs="Arial"/>
          <w:szCs w:val="24"/>
        </w:rPr>
      </w:pPr>
      <w:r>
        <w:rPr>
          <w:rFonts w:ascii="Arial" w:hAnsi="Arial" w:cs="Arial"/>
          <w:szCs w:val="24"/>
        </w:rPr>
        <w:t>d.  Document identification of the problem(s), assessment of the situation, communication with the clinician’s leader and physician responsible for the plan of care, and efforts, with corresponding results, made to resolve the problem(s), and enter this documentation into the clinical record.</w:t>
      </w:r>
    </w:p>
    <w:p w14:paraId="30B0C870" w14:textId="77777777"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is no longer homebound (under regulatory guidelines)</w:t>
      </w:r>
      <w:r w:rsidR="00C07DA1">
        <w:rPr>
          <w:rFonts w:ascii="Arial" w:hAnsi="Arial" w:cs="Arial"/>
          <w:szCs w:val="24"/>
        </w:rPr>
        <w:t>.</w:t>
      </w:r>
    </w:p>
    <w:p w14:paraId="090646B6" w14:textId="77777777"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expires</w:t>
      </w:r>
      <w:r w:rsidR="006168CC">
        <w:rPr>
          <w:rFonts w:ascii="Arial" w:hAnsi="Arial" w:cs="Arial"/>
          <w:szCs w:val="24"/>
        </w:rPr>
        <w:t xml:space="preserve"> or the organization ceases to operate</w:t>
      </w:r>
      <w:r w:rsidRPr="00D3793D">
        <w:rPr>
          <w:rFonts w:ascii="Arial" w:hAnsi="Arial" w:cs="Arial"/>
          <w:szCs w:val="24"/>
        </w:rPr>
        <w:t>.</w:t>
      </w:r>
    </w:p>
    <w:p w14:paraId="50D36C50" w14:textId="77777777" w:rsidR="006168CC" w:rsidRDefault="0068727D" w:rsidP="00C07DA1">
      <w:pPr>
        <w:widowControl/>
        <w:numPr>
          <w:ilvl w:val="0"/>
          <w:numId w:val="6"/>
        </w:numPr>
        <w:tabs>
          <w:tab w:val="clear" w:pos="720"/>
        </w:tabs>
        <w:ind w:left="360"/>
        <w:rPr>
          <w:rFonts w:ascii="Arial" w:hAnsi="Arial" w:cs="Arial"/>
          <w:szCs w:val="24"/>
        </w:rPr>
      </w:pPr>
      <w:r w:rsidRPr="00C07DA1">
        <w:rPr>
          <w:rFonts w:ascii="Arial" w:hAnsi="Arial" w:cs="Arial"/>
          <w:szCs w:val="24"/>
        </w:rPr>
        <w:t xml:space="preserve"> The </w:t>
      </w:r>
      <w:r w:rsidR="00652437">
        <w:rPr>
          <w:rFonts w:ascii="Arial" w:hAnsi="Arial" w:cs="Arial"/>
          <w:szCs w:val="24"/>
        </w:rPr>
        <w:t>p</w:t>
      </w:r>
      <w:r w:rsidRPr="00C07DA1">
        <w:rPr>
          <w:rFonts w:ascii="Arial" w:hAnsi="Arial" w:cs="Arial"/>
          <w:szCs w:val="24"/>
        </w:rPr>
        <w:t>atient is no longer under a physician’s care.</w:t>
      </w:r>
    </w:p>
    <w:p w14:paraId="59EF1BBE" w14:textId="77777777" w:rsidR="006168CC" w:rsidRDefault="006168CC" w:rsidP="00C07DA1">
      <w:pPr>
        <w:widowControl/>
        <w:numPr>
          <w:ilvl w:val="0"/>
          <w:numId w:val="6"/>
        </w:numPr>
        <w:tabs>
          <w:tab w:val="clear" w:pos="720"/>
        </w:tabs>
        <w:ind w:left="360"/>
        <w:rPr>
          <w:rFonts w:ascii="Arial" w:hAnsi="Arial" w:cs="Arial"/>
          <w:szCs w:val="24"/>
        </w:rPr>
      </w:pPr>
      <w:r>
        <w:rPr>
          <w:rFonts w:ascii="Arial" w:hAnsi="Arial" w:cs="Arial"/>
          <w:szCs w:val="24"/>
        </w:rPr>
        <w:t xml:space="preserve"> The patient or payer will no longer pay for the services provided by the organization.</w:t>
      </w:r>
    </w:p>
    <w:p w14:paraId="45082A54" w14:textId="77777777" w:rsidR="006168CC" w:rsidRDefault="006168CC" w:rsidP="006168CC">
      <w:pPr>
        <w:widowControl/>
        <w:rPr>
          <w:rFonts w:ascii="Arial" w:hAnsi="Arial" w:cs="Arial"/>
          <w:szCs w:val="24"/>
        </w:rPr>
      </w:pPr>
    </w:p>
    <w:p w14:paraId="654CBE57" w14:textId="77777777" w:rsidR="006168CC" w:rsidRPr="0086312C" w:rsidRDefault="006168CC" w:rsidP="006168CC">
      <w:pPr>
        <w:widowControl/>
        <w:rPr>
          <w:rFonts w:ascii="Arial" w:hAnsi="Arial" w:cs="Arial"/>
          <w:b/>
          <w:szCs w:val="24"/>
        </w:rPr>
      </w:pPr>
      <w:r w:rsidRPr="0086312C">
        <w:rPr>
          <w:rFonts w:ascii="Arial" w:hAnsi="Arial" w:cs="Arial"/>
          <w:b/>
          <w:szCs w:val="24"/>
        </w:rPr>
        <w:t>DISCHARGE PROCESS:</w:t>
      </w:r>
    </w:p>
    <w:p w14:paraId="4C2F0A0A" w14:textId="77777777" w:rsidR="006168CC" w:rsidRDefault="006168CC" w:rsidP="006168CC">
      <w:pPr>
        <w:widowControl/>
        <w:rPr>
          <w:rFonts w:ascii="Arial" w:hAnsi="Arial" w:cs="Arial"/>
          <w:szCs w:val="24"/>
        </w:rPr>
      </w:pPr>
    </w:p>
    <w:p w14:paraId="43A0F3D4" w14:textId="77777777" w:rsidR="006168CC" w:rsidRDefault="006168CC" w:rsidP="006168CC">
      <w:pPr>
        <w:widowControl/>
        <w:rPr>
          <w:rFonts w:ascii="Arial" w:hAnsi="Arial" w:cs="Arial"/>
          <w:szCs w:val="24"/>
        </w:rPr>
      </w:pPr>
      <w:r>
        <w:rPr>
          <w:rFonts w:ascii="Arial" w:hAnsi="Arial" w:cs="Arial"/>
          <w:szCs w:val="24"/>
        </w:rPr>
        <w:t>1.  Patient/caregiver is notified in advance of discharge.</w:t>
      </w:r>
    </w:p>
    <w:p w14:paraId="10B6EFD3" w14:textId="77777777" w:rsidR="00A76A7C" w:rsidRDefault="006168CC" w:rsidP="006168CC">
      <w:pPr>
        <w:widowControl/>
        <w:rPr>
          <w:rFonts w:ascii="Arial" w:hAnsi="Arial" w:cs="Arial"/>
          <w:szCs w:val="24"/>
        </w:rPr>
      </w:pPr>
      <w:r>
        <w:rPr>
          <w:rFonts w:ascii="Arial" w:hAnsi="Arial" w:cs="Arial"/>
          <w:szCs w:val="24"/>
        </w:rPr>
        <w:t>2.  For Medicare &amp; Medicare Replacement Plan patients, the CMS Notice of Medicare Non-Coverage (NOMNC) is given to the patient/caregiver at least 2 business days before date of discharge.  Signature is acquired &amp; the document is filed in the medical record.  A copy of the signed form is left in the home.  If a discharge visit cannot be made, the Notice of Medicare</w:t>
      </w:r>
      <w:r w:rsidR="00A76A7C">
        <w:rPr>
          <w:rFonts w:ascii="Arial" w:hAnsi="Arial" w:cs="Arial"/>
          <w:szCs w:val="24"/>
        </w:rPr>
        <w:t xml:space="preserve"> Non-Coverage (NOMNC) is mailed to the patient with return receipt requests notice.  The returned receipt signature card is placed in the medical record.</w:t>
      </w:r>
    </w:p>
    <w:p w14:paraId="551B2307" w14:textId="77777777" w:rsidR="00A76A7C" w:rsidRDefault="00A76A7C" w:rsidP="006168CC">
      <w:pPr>
        <w:widowControl/>
        <w:rPr>
          <w:rFonts w:ascii="Arial" w:hAnsi="Arial" w:cs="Arial"/>
          <w:szCs w:val="24"/>
        </w:rPr>
      </w:pPr>
      <w:r>
        <w:rPr>
          <w:rFonts w:ascii="Arial" w:hAnsi="Arial" w:cs="Arial"/>
          <w:szCs w:val="24"/>
        </w:rPr>
        <w:t>3.  The primary care physician is notified and is in agreement with the discharge plan.</w:t>
      </w:r>
    </w:p>
    <w:p w14:paraId="0D1BB849" w14:textId="62636286" w:rsidR="00A76A7C" w:rsidRDefault="00A76A7C" w:rsidP="006168CC">
      <w:pPr>
        <w:widowControl/>
        <w:rPr>
          <w:rFonts w:ascii="Arial" w:hAnsi="Arial" w:cs="Arial"/>
          <w:szCs w:val="24"/>
        </w:rPr>
      </w:pPr>
      <w:r>
        <w:rPr>
          <w:rFonts w:ascii="Arial" w:hAnsi="Arial" w:cs="Arial"/>
          <w:szCs w:val="24"/>
        </w:rPr>
        <w:t>4.  Planned discharges are discussed by the Health Care Team</w:t>
      </w:r>
      <w:r w:rsidRPr="00B364E4">
        <w:rPr>
          <w:rFonts w:ascii="Arial" w:hAnsi="Arial" w:cs="Arial"/>
          <w:szCs w:val="24"/>
        </w:rPr>
        <w:t>, including Telehealth to coordinate discharge plans with all disciplines.  The State Director assures th</w:t>
      </w:r>
      <w:r w:rsidR="008A6687" w:rsidRPr="00B364E4">
        <w:rPr>
          <w:rFonts w:ascii="Arial" w:hAnsi="Arial" w:cs="Arial"/>
          <w:szCs w:val="24"/>
        </w:rPr>
        <w:t>a</w:t>
      </w:r>
      <w:r w:rsidRPr="00B364E4">
        <w:rPr>
          <w:rFonts w:ascii="Arial" w:hAnsi="Arial" w:cs="Arial"/>
          <w:szCs w:val="24"/>
        </w:rPr>
        <w:t>t the current Medication</w:t>
      </w:r>
      <w:r>
        <w:rPr>
          <w:rFonts w:ascii="Arial" w:hAnsi="Arial" w:cs="Arial"/>
          <w:szCs w:val="24"/>
        </w:rPr>
        <w:t xml:space="preserve"> Profile for the planned discharge is printed.</w:t>
      </w:r>
    </w:p>
    <w:p w14:paraId="2B906B8B" w14:textId="20A1E3E0" w:rsidR="00A76A7C" w:rsidRDefault="00A76A7C" w:rsidP="006168CC">
      <w:pPr>
        <w:widowControl/>
        <w:rPr>
          <w:rFonts w:ascii="Arial" w:hAnsi="Arial" w:cs="Arial"/>
          <w:szCs w:val="24"/>
        </w:rPr>
      </w:pPr>
      <w:r>
        <w:rPr>
          <w:rFonts w:ascii="Arial" w:hAnsi="Arial" w:cs="Arial"/>
          <w:szCs w:val="24"/>
        </w:rPr>
        <w:t xml:space="preserve">5.  The last discipline </w:t>
      </w:r>
      <w:r w:rsidR="00A57F16">
        <w:rPr>
          <w:rFonts w:ascii="Arial" w:hAnsi="Arial" w:cs="Arial"/>
          <w:szCs w:val="24"/>
        </w:rPr>
        <w:t>visiting</w:t>
      </w:r>
      <w:r>
        <w:rPr>
          <w:rFonts w:ascii="Arial" w:hAnsi="Arial" w:cs="Arial"/>
          <w:szCs w:val="24"/>
        </w:rPr>
        <w:t xml:space="preserve"> the patient provides the current Medication Profile &amp; reviews the Discharge Instructions and follow up appointments.</w:t>
      </w:r>
    </w:p>
    <w:p w14:paraId="5E7A6C5D" w14:textId="77777777" w:rsidR="00A76A7C" w:rsidRDefault="00A76A7C" w:rsidP="006168CC">
      <w:pPr>
        <w:widowControl/>
        <w:rPr>
          <w:rFonts w:ascii="Arial" w:hAnsi="Arial" w:cs="Arial"/>
          <w:szCs w:val="24"/>
        </w:rPr>
      </w:pPr>
      <w:r>
        <w:rPr>
          <w:rFonts w:ascii="Arial" w:hAnsi="Arial" w:cs="Arial"/>
          <w:szCs w:val="24"/>
        </w:rPr>
        <w:t>6.  The clinician keys the visit type as “Discharge.”</w:t>
      </w:r>
    </w:p>
    <w:p w14:paraId="199C26D2" w14:textId="77777777" w:rsidR="00A76A7C" w:rsidRDefault="00A76A7C" w:rsidP="006168CC">
      <w:pPr>
        <w:widowControl/>
        <w:rPr>
          <w:rFonts w:ascii="Arial" w:hAnsi="Arial" w:cs="Arial"/>
          <w:szCs w:val="24"/>
        </w:rPr>
      </w:pPr>
      <w:r>
        <w:rPr>
          <w:rFonts w:ascii="Arial" w:hAnsi="Arial" w:cs="Arial"/>
          <w:szCs w:val="24"/>
        </w:rPr>
        <w:t>7.  The clinician charts in the discharge summary narrative all the documents given to the patient.</w:t>
      </w:r>
    </w:p>
    <w:p w14:paraId="168A0382" w14:textId="77777777" w:rsidR="00A76A7C" w:rsidRDefault="00A76A7C" w:rsidP="006168CC">
      <w:pPr>
        <w:widowControl/>
        <w:rPr>
          <w:rFonts w:ascii="Arial" w:hAnsi="Arial" w:cs="Arial"/>
          <w:szCs w:val="24"/>
        </w:rPr>
      </w:pPr>
      <w:r>
        <w:rPr>
          <w:rFonts w:ascii="Arial" w:hAnsi="Arial" w:cs="Arial"/>
          <w:szCs w:val="24"/>
        </w:rPr>
        <w:t>8.  If a discharge visit cannot be made, the clinician documents in the electronic health record the circumstances of the discharge and the mailing of the Medication Profile and CMS Notice of Medicare Non-Coverage (NOMNC).</w:t>
      </w:r>
    </w:p>
    <w:p w14:paraId="47B55510" w14:textId="77777777" w:rsidR="00E832A5" w:rsidRDefault="00A76A7C" w:rsidP="006168CC">
      <w:pPr>
        <w:widowControl/>
        <w:rPr>
          <w:rFonts w:ascii="Arial" w:hAnsi="Arial" w:cs="Arial"/>
          <w:szCs w:val="24"/>
        </w:rPr>
      </w:pPr>
      <w:r>
        <w:rPr>
          <w:rFonts w:ascii="Arial" w:hAnsi="Arial" w:cs="Arial"/>
          <w:szCs w:val="24"/>
        </w:rPr>
        <w:t>9.  The discharging clinician completes the Discharge Summary as a “Team/Case Note” in the electronic health record.  The summary should include:</w:t>
      </w:r>
    </w:p>
    <w:p w14:paraId="128D218E" w14:textId="77777777" w:rsidR="00E832A5" w:rsidRDefault="00E832A5" w:rsidP="006168CC">
      <w:pPr>
        <w:widowControl/>
        <w:rPr>
          <w:rFonts w:ascii="Arial" w:hAnsi="Arial" w:cs="Arial"/>
          <w:szCs w:val="24"/>
        </w:rPr>
      </w:pPr>
      <w:r>
        <w:rPr>
          <w:rFonts w:ascii="Arial" w:hAnsi="Arial" w:cs="Arial"/>
          <w:szCs w:val="24"/>
        </w:rPr>
        <w:tab/>
        <w:t>a.  Summary of all care provided in the entire course of Home Health Care.</w:t>
      </w:r>
    </w:p>
    <w:p w14:paraId="4B4CF6CA" w14:textId="77777777" w:rsidR="00E832A5" w:rsidRDefault="00E832A5" w:rsidP="006168CC">
      <w:pPr>
        <w:widowControl/>
        <w:rPr>
          <w:rFonts w:ascii="Arial" w:hAnsi="Arial" w:cs="Arial"/>
          <w:szCs w:val="24"/>
        </w:rPr>
      </w:pPr>
      <w:r>
        <w:rPr>
          <w:rFonts w:ascii="Arial" w:hAnsi="Arial" w:cs="Arial"/>
          <w:szCs w:val="24"/>
        </w:rPr>
        <w:tab/>
        <w:t>b.  Review of goals—which were met, which were not, and why.</w:t>
      </w:r>
    </w:p>
    <w:p w14:paraId="62A471AE" w14:textId="77777777" w:rsidR="00E832A5" w:rsidRDefault="00E832A5" w:rsidP="006168CC">
      <w:pPr>
        <w:widowControl/>
        <w:rPr>
          <w:rFonts w:ascii="Arial" w:hAnsi="Arial" w:cs="Arial"/>
          <w:szCs w:val="24"/>
        </w:rPr>
      </w:pPr>
      <w:r>
        <w:rPr>
          <w:rFonts w:ascii="Arial" w:hAnsi="Arial" w:cs="Arial"/>
          <w:szCs w:val="24"/>
        </w:rPr>
        <w:tab/>
        <w:t>c.  Trends, complications, rehospitalizations</w:t>
      </w:r>
    </w:p>
    <w:p w14:paraId="59AA194B" w14:textId="77777777" w:rsidR="00E832A5" w:rsidRDefault="00E832A5" w:rsidP="006168CC">
      <w:pPr>
        <w:widowControl/>
        <w:rPr>
          <w:rFonts w:ascii="Arial" w:hAnsi="Arial" w:cs="Arial"/>
          <w:szCs w:val="24"/>
        </w:rPr>
      </w:pPr>
      <w:r>
        <w:rPr>
          <w:rFonts w:ascii="Arial" w:hAnsi="Arial" w:cs="Arial"/>
          <w:szCs w:val="24"/>
        </w:rPr>
        <w:tab/>
        <w:t xml:space="preserve">d.  Patient status at discharge and plan for care going forward, including outpatient services </w:t>
      </w:r>
    </w:p>
    <w:p w14:paraId="6D994077" w14:textId="77777777" w:rsidR="00E832A5" w:rsidRDefault="00E832A5" w:rsidP="006168CC">
      <w:pPr>
        <w:widowControl/>
        <w:rPr>
          <w:rFonts w:ascii="Arial" w:hAnsi="Arial" w:cs="Arial"/>
          <w:szCs w:val="24"/>
        </w:rPr>
      </w:pPr>
      <w:r>
        <w:rPr>
          <w:rFonts w:ascii="Arial" w:hAnsi="Arial" w:cs="Arial"/>
          <w:szCs w:val="24"/>
        </w:rPr>
        <w:t xml:space="preserve">                and follow up appointments.</w:t>
      </w:r>
    </w:p>
    <w:p w14:paraId="2B4AF67D" w14:textId="77777777" w:rsidR="00E832A5" w:rsidRDefault="00E832A5" w:rsidP="006168CC">
      <w:pPr>
        <w:widowControl/>
        <w:rPr>
          <w:rFonts w:ascii="Arial" w:hAnsi="Arial" w:cs="Arial"/>
          <w:szCs w:val="24"/>
        </w:rPr>
      </w:pPr>
      <w:r>
        <w:rPr>
          <w:rFonts w:ascii="Arial" w:hAnsi="Arial" w:cs="Arial"/>
          <w:szCs w:val="24"/>
        </w:rPr>
        <w:tab/>
        <w:t>e.  Report that an up-to-date medications list was left with the patient.</w:t>
      </w:r>
    </w:p>
    <w:p w14:paraId="75DEEA8E" w14:textId="77777777" w:rsidR="00E832A5" w:rsidRDefault="00E832A5" w:rsidP="006168CC">
      <w:pPr>
        <w:widowControl/>
        <w:rPr>
          <w:rFonts w:ascii="Arial" w:hAnsi="Arial" w:cs="Arial"/>
          <w:szCs w:val="24"/>
        </w:rPr>
      </w:pPr>
      <w:r>
        <w:rPr>
          <w:rFonts w:ascii="Arial" w:hAnsi="Arial" w:cs="Arial"/>
          <w:szCs w:val="24"/>
        </w:rPr>
        <w:tab/>
        <w:t>f.  The physician has been notified of the discharge.</w:t>
      </w:r>
    </w:p>
    <w:p w14:paraId="03D93EED" w14:textId="77777777" w:rsidR="00E832A5" w:rsidRDefault="00E832A5" w:rsidP="006168CC">
      <w:pPr>
        <w:widowControl/>
        <w:rPr>
          <w:rFonts w:ascii="Arial" w:hAnsi="Arial" w:cs="Arial"/>
          <w:szCs w:val="24"/>
        </w:rPr>
      </w:pPr>
      <w:r>
        <w:rPr>
          <w:rFonts w:ascii="Arial" w:hAnsi="Arial" w:cs="Arial"/>
          <w:szCs w:val="24"/>
        </w:rPr>
        <w:tab/>
        <w:t>g.  If the NOMNC form has been mailed to the patient, this should be noted here.</w:t>
      </w:r>
    </w:p>
    <w:p w14:paraId="404FCEF5" w14:textId="1FDA2A6D" w:rsidR="00350FB4" w:rsidRDefault="00E832A5" w:rsidP="006168CC">
      <w:pPr>
        <w:widowControl/>
        <w:rPr>
          <w:rFonts w:ascii="Arial" w:hAnsi="Arial" w:cs="Arial"/>
          <w:szCs w:val="24"/>
        </w:rPr>
      </w:pPr>
      <w:r>
        <w:rPr>
          <w:rFonts w:ascii="Arial" w:hAnsi="Arial" w:cs="Arial"/>
          <w:szCs w:val="24"/>
        </w:rPr>
        <w:lastRenderedPageBreak/>
        <w:t>10</w:t>
      </w:r>
      <w:r w:rsidRPr="00B364E4">
        <w:rPr>
          <w:rFonts w:ascii="Arial" w:hAnsi="Arial" w:cs="Arial"/>
          <w:szCs w:val="24"/>
        </w:rPr>
        <w:t xml:space="preserve">.  If a telemonitor is still in the home, the last discipline in confirms with Telehealth whether the monitor should be picked up or remain in the home for continued monitoring.  If a monitor remains in the home, collaboration between the discipline and Telehealth will continue until the time specifies for re-evaluation.  If a monitor is to be returned, Telehealth will be </w:t>
      </w:r>
      <w:r w:rsidR="00762AA1" w:rsidRPr="00B364E4">
        <w:rPr>
          <w:rFonts w:ascii="Arial" w:hAnsi="Arial" w:cs="Arial"/>
          <w:szCs w:val="24"/>
        </w:rPr>
        <w:t>notified,</w:t>
      </w:r>
      <w:r w:rsidRPr="00B364E4">
        <w:rPr>
          <w:rFonts w:ascii="Arial" w:hAnsi="Arial" w:cs="Arial"/>
          <w:szCs w:val="24"/>
        </w:rPr>
        <w:t xml:space="preserve"> and </w:t>
      </w:r>
      <w:r w:rsidR="00350FB4" w:rsidRPr="00B364E4">
        <w:rPr>
          <w:rFonts w:ascii="Arial" w:hAnsi="Arial" w:cs="Arial"/>
          <w:szCs w:val="24"/>
        </w:rPr>
        <w:t>the last visiti</w:t>
      </w:r>
      <w:r w:rsidR="008A6687" w:rsidRPr="00B364E4">
        <w:rPr>
          <w:rFonts w:ascii="Arial" w:hAnsi="Arial" w:cs="Arial"/>
          <w:szCs w:val="24"/>
        </w:rPr>
        <w:t>ng</w:t>
      </w:r>
      <w:r w:rsidR="00350FB4" w:rsidRPr="00B364E4">
        <w:rPr>
          <w:rFonts w:ascii="Arial" w:hAnsi="Arial" w:cs="Arial"/>
          <w:szCs w:val="24"/>
        </w:rPr>
        <w:t xml:space="preserve"> clinician will take the monitor with them and return it to the appropriate community office.  The discharge summary, current medications list and discharge fax cover sheet are sent to the patient’s physician by the Scheduler/Office Coordinator.</w:t>
      </w:r>
      <w:bookmarkStart w:id="0" w:name="_GoBack"/>
      <w:bookmarkEnd w:id="0"/>
    </w:p>
    <w:p w14:paraId="50C36412" w14:textId="12A6BCDF" w:rsidR="00350FB4" w:rsidRDefault="00350FB4" w:rsidP="006168CC">
      <w:pPr>
        <w:widowControl/>
        <w:rPr>
          <w:rFonts w:ascii="Arial" w:hAnsi="Arial" w:cs="Arial"/>
          <w:szCs w:val="24"/>
        </w:rPr>
      </w:pPr>
      <w:r>
        <w:rPr>
          <w:rFonts w:ascii="Arial" w:hAnsi="Arial" w:cs="Arial"/>
          <w:szCs w:val="24"/>
        </w:rPr>
        <w:t>11.  The State Director reports any difficulty in acquiring signed orders to the President/CEO.  The designated discharge date is the date of the last billable visit.</w:t>
      </w:r>
    </w:p>
    <w:p w14:paraId="72E2E2EC" w14:textId="77777777" w:rsidR="00350FB4" w:rsidRDefault="00350FB4" w:rsidP="006168CC">
      <w:pPr>
        <w:widowControl/>
        <w:rPr>
          <w:rFonts w:ascii="Arial" w:hAnsi="Arial" w:cs="Arial"/>
          <w:szCs w:val="24"/>
        </w:rPr>
      </w:pPr>
    </w:p>
    <w:p w14:paraId="05287684" w14:textId="77777777" w:rsidR="00350FB4" w:rsidRDefault="00350FB4" w:rsidP="006168CC">
      <w:pPr>
        <w:widowControl/>
        <w:rPr>
          <w:rFonts w:ascii="Arial" w:hAnsi="Arial" w:cs="Arial"/>
          <w:b/>
          <w:szCs w:val="24"/>
        </w:rPr>
      </w:pPr>
      <w:r>
        <w:rPr>
          <w:rFonts w:ascii="Arial" w:hAnsi="Arial" w:cs="Arial"/>
          <w:b/>
          <w:szCs w:val="24"/>
        </w:rPr>
        <w:t>MEDICARE PATIENTS</w:t>
      </w:r>
    </w:p>
    <w:p w14:paraId="7C576650" w14:textId="77777777" w:rsidR="00350FB4" w:rsidRDefault="00350FB4" w:rsidP="006168CC">
      <w:pPr>
        <w:widowControl/>
        <w:rPr>
          <w:rFonts w:ascii="Arial" w:hAnsi="Arial" w:cs="Arial"/>
          <w:b/>
          <w:szCs w:val="24"/>
        </w:rPr>
      </w:pPr>
    </w:p>
    <w:p w14:paraId="3FFD0C64" w14:textId="30808412" w:rsidR="00350FB4" w:rsidRDefault="00350FB4" w:rsidP="006168CC">
      <w:pPr>
        <w:widowControl/>
        <w:rPr>
          <w:rFonts w:ascii="Arial" w:hAnsi="Arial" w:cs="Arial"/>
          <w:szCs w:val="24"/>
        </w:rPr>
      </w:pPr>
      <w:r>
        <w:rPr>
          <w:rFonts w:ascii="Arial" w:hAnsi="Arial" w:cs="Arial"/>
          <w:szCs w:val="24"/>
        </w:rPr>
        <w:t xml:space="preserve">1.  If the physician orders home care services and the patient no longer </w:t>
      </w:r>
      <w:r w:rsidR="00762AA1">
        <w:rPr>
          <w:rFonts w:ascii="Arial" w:hAnsi="Arial" w:cs="Arial"/>
          <w:szCs w:val="24"/>
        </w:rPr>
        <w:t>meet</w:t>
      </w:r>
      <w:r>
        <w:rPr>
          <w:rFonts w:ascii="Arial" w:hAnsi="Arial" w:cs="Arial"/>
          <w:szCs w:val="24"/>
        </w:rPr>
        <w:t xml:space="preserve"> Medicare conditions of participation for homebound status or medical necessity:</w:t>
      </w:r>
    </w:p>
    <w:p w14:paraId="69D11F95" w14:textId="77777777" w:rsidR="00350FB4" w:rsidRDefault="00350FB4" w:rsidP="006168CC">
      <w:pPr>
        <w:widowControl/>
        <w:rPr>
          <w:rFonts w:ascii="Arial" w:hAnsi="Arial" w:cs="Arial"/>
          <w:szCs w:val="24"/>
        </w:rPr>
      </w:pPr>
      <w:r>
        <w:rPr>
          <w:rFonts w:ascii="Arial" w:hAnsi="Arial" w:cs="Arial"/>
          <w:szCs w:val="24"/>
        </w:rPr>
        <w:tab/>
        <w:t>a.  The physician is notified that the patient no longer qualifies for Medicare coverage.</w:t>
      </w:r>
    </w:p>
    <w:p w14:paraId="16B58D5E" w14:textId="77777777" w:rsidR="00350FB4" w:rsidRDefault="00350FB4" w:rsidP="006168CC">
      <w:pPr>
        <w:widowControl/>
        <w:rPr>
          <w:rFonts w:ascii="Arial" w:hAnsi="Arial" w:cs="Arial"/>
          <w:szCs w:val="24"/>
        </w:rPr>
      </w:pPr>
      <w:r>
        <w:rPr>
          <w:rFonts w:ascii="Arial" w:hAnsi="Arial" w:cs="Arial"/>
          <w:szCs w:val="24"/>
        </w:rPr>
        <w:tab/>
        <w:t>b.  The patient/caregiver is notified that Medicare will no longer reimburse home care services.</w:t>
      </w:r>
    </w:p>
    <w:p w14:paraId="4DFD1AC0" w14:textId="77777777" w:rsidR="00350FB4" w:rsidRDefault="00350FB4" w:rsidP="006168CC">
      <w:pPr>
        <w:widowControl/>
        <w:rPr>
          <w:rFonts w:ascii="Arial" w:hAnsi="Arial" w:cs="Arial"/>
          <w:szCs w:val="24"/>
        </w:rPr>
      </w:pPr>
      <w:r>
        <w:rPr>
          <w:rFonts w:ascii="Arial" w:hAnsi="Arial" w:cs="Arial"/>
          <w:szCs w:val="24"/>
        </w:rPr>
        <w:tab/>
        <w:t xml:space="preserve">c.  An Advance Beneficiary Notice (ABN) is given to the patient/family or significant other(s) </w:t>
      </w:r>
    </w:p>
    <w:p w14:paraId="01F81C28" w14:textId="77777777" w:rsidR="00350FB4" w:rsidRDefault="00350FB4" w:rsidP="006168CC">
      <w:pPr>
        <w:widowControl/>
        <w:rPr>
          <w:rFonts w:ascii="Arial" w:hAnsi="Arial" w:cs="Arial"/>
          <w:szCs w:val="24"/>
        </w:rPr>
      </w:pPr>
      <w:r>
        <w:rPr>
          <w:rFonts w:ascii="Arial" w:hAnsi="Arial" w:cs="Arial"/>
          <w:szCs w:val="24"/>
        </w:rPr>
        <w:t xml:space="preserve">               with a complete explanation during a home visit.</w:t>
      </w:r>
    </w:p>
    <w:p w14:paraId="265CED4B" w14:textId="77777777" w:rsidR="00350FB4" w:rsidRDefault="00350FB4" w:rsidP="006168CC">
      <w:pPr>
        <w:widowControl/>
        <w:rPr>
          <w:rFonts w:ascii="Arial" w:hAnsi="Arial" w:cs="Arial"/>
          <w:szCs w:val="24"/>
        </w:rPr>
      </w:pPr>
      <w:r>
        <w:rPr>
          <w:rFonts w:ascii="Arial" w:hAnsi="Arial" w:cs="Arial"/>
          <w:szCs w:val="24"/>
        </w:rPr>
        <w:tab/>
        <w:t>d.  If a home visit to explain the Advance Beneficiary Notice is refused, the ABN is sent to the</w:t>
      </w:r>
    </w:p>
    <w:p w14:paraId="56082A04" w14:textId="77777777" w:rsidR="00350FB4" w:rsidRDefault="00350FB4" w:rsidP="006168CC">
      <w:pPr>
        <w:widowControl/>
        <w:rPr>
          <w:rFonts w:ascii="Arial" w:hAnsi="Arial" w:cs="Arial"/>
          <w:szCs w:val="24"/>
        </w:rPr>
      </w:pPr>
      <w:r>
        <w:rPr>
          <w:rFonts w:ascii="Arial" w:hAnsi="Arial" w:cs="Arial"/>
          <w:szCs w:val="24"/>
        </w:rPr>
        <w:t xml:space="preserve">                patient by certified mail.</w:t>
      </w:r>
    </w:p>
    <w:p w14:paraId="1240CF25" w14:textId="77777777" w:rsidR="00350FB4" w:rsidRDefault="00350FB4" w:rsidP="006168CC">
      <w:pPr>
        <w:widowControl/>
        <w:rPr>
          <w:rFonts w:ascii="Arial" w:hAnsi="Arial" w:cs="Arial"/>
          <w:szCs w:val="24"/>
        </w:rPr>
      </w:pPr>
      <w:r>
        <w:rPr>
          <w:rFonts w:ascii="Arial" w:hAnsi="Arial" w:cs="Arial"/>
          <w:szCs w:val="24"/>
        </w:rPr>
        <w:t xml:space="preserve">2.  Patients </w:t>
      </w:r>
      <w:r w:rsidRPr="00762AA1">
        <w:rPr>
          <w:rFonts w:ascii="Arial" w:hAnsi="Arial" w:cs="Arial"/>
          <w:szCs w:val="24"/>
        </w:rPr>
        <w:t>no longer</w:t>
      </w:r>
      <w:r>
        <w:rPr>
          <w:rFonts w:ascii="Arial" w:hAnsi="Arial" w:cs="Arial"/>
          <w:szCs w:val="24"/>
        </w:rPr>
        <w:t xml:space="preserve"> meeting homebound criteria are offered a choice of self-pay for services or </w:t>
      </w:r>
    </w:p>
    <w:p w14:paraId="5B57834D" w14:textId="77777777" w:rsidR="00217F12" w:rsidRDefault="00350FB4" w:rsidP="006168CC">
      <w:pPr>
        <w:widowControl/>
        <w:rPr>
          <w:rFonts w:ascii="Arial" w:hAnsi="Arial" w:cs="Arial"/>
          <w:szCs w:val="24"/>
        </w:rPr>
      </w:pPr>
      <w:r>
        <w:rPr>
          <w:rFonts w:ascii="Arial" w:hAnsi="Arial" w:cs="Arial"/>
          <w:szCs w:val="24"/>
        </w:rPr>
        <w:t>immediate discharge with referral to their physician or an outpatient clinic</w:t>
      </w:r>
      <w:r w:rsidR="00217F12">
        <w:rPr>
          <w:rFonts w:ascii="Arial" w:hAnsi="Arial" w:cs="Arial"/>
          <w:szCs w:val="24"/>
        </w:rPr>
        <w:t>.</w:t>
      </w:r>
    </w:p>
    <w:p w14:paraId="4754F80A" w14:textId="77777777" w:rsidR="00217F12" w:rsidRDefault="00217F12" w:rsidP="006168CC">
      <w:pPr>
        <w:widowControl/>
        <w:rPr>
          <w:rFonts w:ascii="Arial" w:hAnsi="Arial" w:cs="Arial"/>
          <w:szCs w:val="24"/>
        </w:rPr>
      </w:pPr>
      <w:r>
        <w:rPr>
          <w:rFonts w:ascii="Arial" w:hAnsi="Arial" w:cs="Arial"/>
          <w:szCs w:val="24"/>
        </w:rPr>
        <w:t>3.  If the patient is no longer homebound but continues to require assistance with health care, the home care agency assists with referral to outpatient and/or physician office care.</w:t>
      </w:r>
    </w:p>
    <w:p w14:paraId="21BC7406" w14:textId="77777777" w:rsidR="00217F12" w:rsidRDefault="00217F12" w:rsidP="006168CC">
      <w:pPr>
        <w:widowControl/>
        <w:rPr>
          <w:rFonts w:ascii="Arial" w:hAnsi="Arial" w:cs="Arial"/>
          <w:szCs w:val="24"/>
        </w:rPr>
      </w:pPr>
    </w:p>
    <w:p w14:paraId="55BBBC3B" w14:textId="77777777" w:rsidR="00217F12" w:rsidRDefault="00217F12" w:rsidP="006168CC">
      <w:pPr>
        <w:widowControl/>
        <w:rPr>
          <w:rFonts w:ascii="Arial" w:hAnsi="Arial" w:cs="Arial"/>
          <w:b/>
          <w:szCs w:val="24"/>
        </w:rPr>
      </w:pPr>
      <w:r>
        <w:rPr>
          <w:rFonts w:ascii="Arial" w:hAnsi="Arial" w:cs="Arial"/>
          <w:b/>
          <w:szCs w:val="24"/>
        </w:rPr>
        <w:t>REFUSAL OF ALTERNATIVE CARE</w:t>
      </w:r>
    </w:p>
    <w:p w14:paraId="1E310A2A" w14:textId="77777777" w:rsidR="00217F12" w:rsidRDefault="00217F12" w:rsidP="006168CC">
      <w:pPr>
        <w:widowControl/>
        <w:rPr>
          <w:rFonts w:ascii="Arial" w:hAnsi="Arial" w:cs="Arial"/>
          <w:b/>
          <w:szCs w:val="24"/>
        </w:rPr>
      </w:pPr>
    </w:p>
    <w:p w14:paraId="5A5FA1DB" w14:textId="4D577A15" w:rsidR="00217F12" w:rsidRDefault="00217F12" w:rsidP="006168CC">
      <w:pPr>
        <w:widowControl/>
        <w:rPr>
          <w:rFonts w:ascii="Arial" w:hAnsi="Arial" w:cs="Arial"/>
          <w:szCs w:val="24"/>
        </w:rPr>
      </w:pPr>
      <w:r>
        <w:rPr>
          <w:rFonts w:ascii="Arial" w:hAnsi="Arial" w:cs="Arial"/>
          <w:szCs w:val="24"/>
        </w:rPr>
        <w:t xml:space="preserve">If a </w:t>
      </w:r>
      <w:r w:rsidR="00762AA1">
        <w:rPr>
          <w:rFonts w:ascii="Arial" w:hAnsi="Arial" w:cs="Arial"/>
          <w:szCs w:val="24"/>
        </w:rPr>
        <w:t>patient refuse</w:t>
      </w:r>
      <w:r>
        <w:rPr>
          <w:rFonts w:ascii="Arial" w:hAnsi="Arial" w:cs="Arial"/>
          <w:szCs w:val="24"/>
        </w:rPr>
        <w:t xml:space="preserve"> to seek alternative care or services on discharge, the agency:</w:t>
      </w:r>
    </w:p>
    <w:p w14:paraId="21D13C08" w14:textId="4D85058D" w:rsidR="00217F12" w:rsidRDefault="00217F12" w:rsidP="006168CC">
      <w:pPr>
        <w:widowControl/>
        <w:rPr>
          <w:rFonts w:ascii="Arial" w:hAnsi="Arial" w:cs="Arial"/>
          <w:szCs w:val="24"/>
        </w:rPr>
      </w:pPr>
      <w:r>
        <w:rPr>
          <w:rFonts w:ascii="Arial" w:hAnsi="Arial" w:cs="Arial"/>
          <w:szCs w:val="24"/>
        </w:rPr>
        <w:tab/>
        <w:t>1.  Notifies th</w:t>
      </w:r>
      <w:r w:rsidR="008A6687">
        <w:rPr>
          <w:rFonts w:ascii="Arial" w:hAnsi="Arial" w:cs="Arial"/>
          <w:szCs w:val="24"/>
        </w:rPr>
        <w:t>e</w:t>
      </w:r>
      <w:r>
        <w:rPr>
          <w:rFonts w:ascii="Arial" w:hAnsi="Arial" w:cs="Arial"/>
          <w:szCs w:val="24"/>
        </w:rPr>
        <w:t xml:space="preserve"> emergency contact or responsible party that was identified by the patient on </w:t>
      </w:r>
    </w:p>
    <w:p w14:paraId="72F8C0D7" w14:textId="77777777" w:rsidR="00217F12" w:rsidRDefault="00217F12" w:rsidP="006168CC">
      <w:pPr>
        <w:widowControl/>
        <w:rPr>
          <w:rFonts w:ascii="Arial" w:hAnsi="Arial" w:cs="Arial"/>
          <w:szCs w:val="24"/>
        </w:rPr>
      </w:pPr>
      <w:r>
        <w:rPr>
          <w:rFonts w:ascii="Arial" w:hAnsi="Arial" w:cs="Arial"/>
          <w:szCs w:val="24"/>
        </w:rPr>
        <w:t xml:space="preserve">                admission.</w:t>
      </w:r>
    </w:p>
    <w:p w14:paraId="4C0AF250" w14:textId="77777777" w:rsidR="00217F12" w:rsidRDefault="00217F12" w:rsidP="006168CC">
      <w:pPr>
        <w:widowControl/>
        <w:rPr>
          <w:rFonts w:ascii="Arial" w:hAnsi="Arial" w:cs="Arial"/>
          <w:szCs w:val="24"/>
        </w:rPr>
      </w:pPr>
      <w:r>
        <w:rPr>
          <w:rFonts w:ascii="Arial" w:hAnsi="Arial" w:cs="Arial"/>
          <w:szCs w:val="24"/>
        </w:rPr>
        <w:tab/>
        <w:t>2.  Collaborates with the physician to assess the need for protective services.</w:t>
      </w:r>
    </w:p>
    <w:p w14:paraId="5AFECACA" w14:textId="77777777" w:rsidR="00217F12" w:rsidRDefault="00217F12" w:rsidP="006168CC">
      <w:pPr>
        <w:widowControl/>
        <w:rPr>
          <w:rFonts w:ascii="Arial" w:hAnsi="Arial" w:cs="Arial"/>
          <w:szCs w:val="24"/>
        </w:rPr>
      </w:pPr>
      <w:r>
        <w:rPr>
          <w:rFonts w:ascii="Arial" w:hAnsi="Arial" w:cs="Arial"/>
          <w:szCs w:val="24"/>
        </w:rPr>
        <w:tab/>
        <w:t>3.  Follow our policy for contacting the protective services division of the local organization on</w:t>
      </w:r>
    </w:p>
    <w:p w14:paraId="7BB69E84" w14:textId="77777777" w:rsidR="00217F12" w:rsidRDefault="00217F12" w:rsidP="006168CC">
      <w:pPr>
        <w:widowControl/>
        <w:rPr>
          <w:rFonts w:ascii="Arial" w:hAnsi="Arial" w:cs="Arial"/>
          <w:szCs w:val="24"/>
        </w:rPr>
      </w:pPr>
      <w:r>
        <w:rPr>
          <w:rFonts w:ascii="Arial" w:hAnsi="Arial" w:cs="Arial"/>
          <w:szCs w:val="24"/>
        </w:rPr>
        <w:t xml:space="preserve">                aging when indicated.</w:t>
      </w:r>
    </w:p>
    <w:p w14:paraId="27EC26D0" w14:textId="77777777" w:rsidR="00217F12" w:rsidRDefault="00217F12" w:rsidP="006168CC">
      <w:pPr>
        <w:widowControl/>
        <w:rPr>
          <w:rFonts w:ascii="Arial" w:hAnsi="Arial" w:cs="Arial"/>
          <w:szCs w:val="24"/>
        </w:rPr>
      </w:pPr>
    </w:p>
    <w:p w14:paraId="2999D2F4" w14:textId="77777777" w:rsidR="00217F12" w:rsidRDefault="00217F12" w:rsidP="006168CC">
      <w:pPr>
        <w:widowControl/>
        <w:rPr>
          <w:rFonts w:ascii="Arial" w:hAnsi="Arial" w:cs="Arial"/>
          <w:b/>
          <w:szCs w:val="24"/>
        </w:rPr>
      </w:pPr>
      <w:r>
        <w:rPr>
          <w:rFonts w:ascii="Arial" w:hAnsi="Arial" w:cs="Arial"/>
          <w:b/>
          <w:szCs w:val="24"/>
        </w:rPr>
        <w:t>FORMS</w:t>
      </w:r>
    </w:p>
    <w:p w14:paraId="0D3EA8DF" w14:textId="77777777" w:rsidR="00217F12" w:rsidRDefault="00217F12" w:rsidP="006168CC">
      <w:pPr>
        <w:widowControl/>
        <w:rPr>
          <w:rFonts w:ascii="Arial" w:hAnsi="Arial" w:cs="Arial"/>
          <w:b/>
          <w:szCs w:val="24"/>
        </w:rPr>
      </w:pPr>
    </w:p>
    <w:p w14:paraId="37E11867" w14:textId="77777777" w:rsidR="00217F12" w:rsidRDefault="00217F12" w:rsidP="006168CC">
      <w:pPr>
        <w:widowControl/>
        <w:rPr>
          <w:rFonts w:ascii="Arial" w:hAnsi="Arial" w:cs="Arial"/>
          <w:szCs w:val="24"/>
        </w:rPr>
      </w:pPr>
      <w:r>
        <w:rPr>
          <w:rFonts w:ascii="Arial" w:hAnsi="Arial" w:cs="Arial"/>
          <w:szCs w:val="24"/>
        </w:rPr>
        <w:t xml:space="preserve">The Advance Beneficiary Notice of Non-Coverage (ABN) and Notice of Medicare Non-Coverage forms referenced in this policy are found in </w:t>
      </w:r>
      <w:r w:rsidRPr="00E03E8F">
        <w:rPr>
          <w:rFonts w:ascii="Arial" w:hAnsi="Arial" w:cs="Arial"/>
          <w:szCs w:val="24"/>
          <w:u w:val="single"/>
        </w:rPr>
        <w:t>G:\Approved Forms\Patient Notifications.</w:t>
      </w:r>
    </w:p>
    <w:p w14:paraId="5171F365" w14:textId="77777777" w:rsidR="00217F12" w:rsidRDefault="00217F12" w:rsidP="006168CC">
      <w:pPr>
        <w:widowControl/>
        <w:rPr>
          <w:rFonts w:ascii="Arial" w:hAnsi="Arial" w:cs="Arial"/>
          <w:szCs w:val="24"/>
        </w:rPr>
      </w:pPr>
    </w:p>
    <w:p w14:paraId="1B934A94" w14:textId="77777777" w:rsidR="00154735" w:rsidRPr="00E03E8F" w:rsidRDefault="00217F12" w:rsidP="00E03E8F">
      <w:pPr>
        <w:rPr>
          <w:rFonts w:ascii="Arial" w:hAnsi="Arial" w:cs="Arial"/>
          <w:sz w:val="20"/>
        </w:rPr>
      </w:pPr>
      <w:r>
        <w:rPr>
          <w:rFonts w:ascii="Arial" w:hAnsi="Arial" w:cs="Arial"/>
          <w:szCs w:val="24"/>
        </w:rPr>
        <w:t xml:space="preserve">Also see the </w:t>
      </w:r>
      <w:r>
        <w:rPr>
          <w:rFonts w:ascii="Arial" w:hAnsi="Arial" w:cs="Arial"/>
          <w:b/>
          <w:szCs w:val="24"/>
        </w:rPr>
        <w:t xml:space="preserve">Patient Notifications (ABN, HHCCN, NOMNC) Policy </w:t>
      </w:r>
      <w:r>
        <w:rPr>
          <w:rFonts w:ascii="Arial" w:hAnsi="Arial" w:cs="Arial"/>
          <w:szCs w:val="24"/>
        </w:rPr>
        <w:t>for more information on the Advance Beneficiary Notice, Home Health Change of Care Notice, and Notice of Medicare Non-Coverage</w:t>
      </w:r>
      <w:r w:rsidR="00E03E8F">
        <w:rPr>
          <w:rFonts w:ascii="Arial" w:hAnsi="Arial" w:cs="Arial"/>
          <w:szCs w:val="24"/>
        </w:rPr>
        <w:t>.</w:t>
      </w:r>
    </w:p>
    <w:sectPr w:rsidR="00154735" w:rsidRPr="00E03E8F" w:rsidSect="00D3793D">
      <w:footerReference w:type="even" r:id="rId8"/>
      <w:footerReference w:type="default" r:id="rId9"/>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5501" w14:textId="77777777" w:rsidR="0086312C" w:rsidRDefault="0086312C">
      <w:r>
        <w:separator/>
      </w:r>
    </w:p>
  </w:endnote>
  <w:endnote w:type="continuationSeparator" w:id="0">
    <w:p w14:paraId="313E05B4" w14:textId="77777777" w:rsidR="0086312C" w:rsidRDefault="0086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E2EE" w14:textId="77777777" w:rsidR="0086312C" w:rsidRDefault="00566755">
    <w:pPr>
      <w:pStyle w:val="Footer"/>
      <w:framePr w:wrap="around" w:vAnchor="text" w:hAnchor="margin" w:xAlign="right" w:y="1"/>
      <w:rPr>
        <w:rStyle w:val="PageNumber"/>
      </w:rPr>
    </w:pPr>
    <w:r>
      <w:rPr>
        <w:rStyle w:val="PageNumber"/>
      </w:rPr>
      <w:fldChar w:fldCharType="begin"/>
    </w:r>
    <w:r w:rsidR="0086312C">
      <w:rPr>
        <w:rStyle w:val="PageNumber"/>
      </w:rPr>
      <w:instrText xml:space="preserve">PAGE  </w:instrText>
    </w:r>
    <w:r>
      <w:rPr>
        <w:rStyle w:val="PageNumber"/>
      </w:rPr>
      <w:fldChar w:fldCharType="end"/>
    </w:r>
  </w:p>
  <w:p w14:paraId="75CE711E" w14:textId="77777777" w:rsidR="0086312C" w:rsidRDefault="00863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4456" w14:textId="77777777" w:rsidR="0086312C" w:rsidRPr="00E76E2F" w:rsidRDefault="0086312C" w:rsidP="00D3793D">
    <w:pPr>
      <w:pStyle w:val="Footer"/>
      <w:tabs>
        <w:tab w:val="clear" w:pos="4320"/>
        <w:tab w:val="clear" w:pos="8640"/>
        <w:tab w:val="right" w:pos="10800"/>
      </w:tabs>
      <w:rPr>
        <w:rFonts w:ascii="Arial" w:hAnsi="Arial" w:cs="Arial"/>
        <w:sz w:val="20"/>
      </w:rPr>
    </w:pPr>
    <w:r>
      <w:rPr>
        <w:rFonts w:ascii="Arial" w:hAnsi="Arial" w:cs="Arial"/>
        <w:sz w:val="16"/>
      </w:rPr>
      <w:t>G:\Policies and Procedures 2018\Administrative Policy and Procedure Manual\Provision of Care, Treatment, &amp; Service\Discharge (Home Health Care).doc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BDEB" w14:textId="77777777" w:rsidR="0086312C" w:rsidRDefault="0086312C">
      <w:r>
        <w:separator/>
      </w:r>
    </w:p>
  </w:footnote>
  <w:footnote w:type="continuationSeparator" w:id="0">
    <w:p w14:paraId="2BED4065" w14:textId="77777777" w:rsidR="0086312C" w:rsidRDefault="0086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numFmt w:val="bullet"/>
      <w:lvlText w:val=""/>
      <w:lvlJc w:val="left"/>
      <w:pPr>
        <w:ind w:left="1020" w:hanging="360"/>
      </w:pPr>
      <w:rPr>
        <w:rFonts w:ascii="Symbol" w:hAnsi="Symbol" w:cs="Symbol"/>
        <w:b w:val="0"/>
        <w:bCs w:val="0"/>
        <w:w w:val="76"/>
        <w:sz w:val="24"/>
        <w:szCs w:val="24"/>
      </w:rPr>
    </w:lvl>
    <w:lvl w:ilvl="1">
      <w:numFmt w:val="bullet"/>
      <w:lvlText w:val="•"/>
      <w:lvlJc w:val="left"/>
      <w:pPr>
        <w:ind w:left="2004" w:hanging="360"/>
      </w:pPr>
    </w:lvl>
    <w:lvl w:ilvl="2">
      <w:numFmt w:val="bullet"/>
      <w:lvlText w:val="•"/>
      <w:lvlJc w:val="left"/>
      <w:pPr>
        <w:ind w:left="2988" w:hanging="360"/>
      </w:pPr>
    </w:lvl>
    <w:lvl w:ilvl="3">
      <w:numFmt w:val="bullet"/>
      <w:lvlText w:val="•"/>
      <w:lvlJc w:val="left"/>
      <w:pPr>
        <w:ind w:left="3972" w:hanging="360"/>
      </w:pPr>
    </w:lvl>
    <w:lvl w:ilvl="4">
      <w:numFmt w:val="bullet"/>
      <w:lvlText w:val="•"/>
      <w:lvlJc w:val="left"/>
      <w:pPr>
        <w:ind w:left="4956" w:hanging="360"/>
      </w:pPr>
    </w:lvl>
    <w:lvl w:ilvl="5">
      <w:numFmt w:val="bullet"/>
      <w:lvlText w:val="•"/>
      <w:lvlJc w:val="left"/>
      <w:pPr>
        <w:ind w:left="5940" w:hanging="360"/>
      </w:pPr>
    </w:lvl>
    <w:lvl w:ilvl="6">
      <w:numFmt w:val="bullet"/>
      <w:lvlText w:val="•"/>
      <w:lvlJc w:val="left"/>
      <w:pPr>
        <w:ind w:left="6924" w:hanging="360"/>
      </w:pPr>
    </w:lvl>
    <w:lvl w:ilvl="7">
      <w:numFmt w:val="bullet"/>
      <w:lvlText w:val="•"/>
      <w:lvlJc w:val="left"/>
      <w:pPr>
        <w:ind w:left="7908" w:hanging="360"/>
      </w:pPr>
    </w:lvl>
    <w:lvl w:ilvl="8">
      <w:numFmt w:val="bullet"/>
      <w:lvlText w:val="•"/>
      <w:lvlJc w:val="left"/>
      <w:pPr>
        <w:ind w:left="8892" w:hanging="360"/>
      </w:pPr>
    </w:lvl>
  </w:abstractNum>
  <w:abstractNum w:abstractNumId="4" w15:restartNumberingAfterBreak="0">
    <w:nsid w:val="00000403"/>
    <w:multiLevelType w:val="multilevel"/>
    <w:tmpl w:val="00000886"/>
    <w:lvl w:ilvl="0">
      <w:start w:val="8"/>
      <w:numFmt w:val="upperLetter"/>
      <w:lvlText w:val="%1."/>
      <w:lvlJc w:val="left"/>
      <w:pPr>
        <w:ind w:left="564" w:hanging="307"/>
      </w:pPr>
      <w:rPr>
        <w:rFonts w:ascii="Arial" w:hAnsi="Arial" w:cs="Arial"/>
        <w:b/>
        <w:bCs/>
        <w:spacing w:val="-1"/>
        <w:sz w:val="24"/>
        <w:szCs w:val="24"/>
      </w:rPr>
    </w:lvl>
    <w:lvl w:ilvl="1">
      <w:numFmt w:val="bullet"/>
      <w:lvlText w:val="•"/>
      <w:lvlJc w:val="left"/>
      <w:pPr>
        <w:ind w:left="1593" w:hanging="307"/>
      </w:pPr>
    </w:lvl>
    <w:lvl w:ilvl="2">
      <w:numFmt w:val="bullet"/>
      <w:lvlText w:val="•"/>
      <w:lvlJc w:val="left"/>
      <w:pPr>
        <w:ind w:left="2623" w:hanging="307"/>
      </w:pPr>
    </w:lvl>
    <w:lvl w:ilvl="3">
      <w:numFmt w:val="bullet"/>
      <w:lvlText w:val="•"/>
      <w:lvlJc w:val="left"/>
      <w:pPr>
        <w:ind w:left="3652" w:hanging="307"/>
      </w:pPr>
    </w:lvl>
    <w:lvl w:ilvl="4">
      <w:numFmt w:val="bullet"/>
      <w:lvlText w:val="•"/>
      <w:lvlJc w:val="left"/>
      <w:pPr>
        <w:ind w:left="4682" w:hanging="307"/>
      </w:pPr>
    </w:lvl>
    <w:lvl w:ilvl="5">
      <w:numFmt w:val="bullet"/>
      <w:lvlText w:val="•"/>
      <w:lvlJc w:val="left"/>
      <w:pPr>
        <w:ind w:left="5712" w:hanging="307"/>
      </w:pPr>
    </w:lvl>
    <w:lvl w:ilvl="6">
      <w:numFmt w:val="bullet"/>
      <w:lvlText w:val="•"/>
      <w:lvlJc w:val="left"/>
      <w:pPr>
        <w:ind w:left="6741" w:hanging="307"/>
      </w:pPr>
    </w:lvl>
    <w:lvl w:ilvl="7">
      <w:numFmt w:val="bullet"/>
      <w:lvlText w:val="•"/>
      <w:lvlJc w:val="left"/>
      <w:pPr>
        <w:ind w:left="7771" w:hanging="307"/>
      </w:pPr>
    </w:lvl>
    <w:lvl w:ilvl="8">
      <w:numFmt w:val="bullet"/>
      <w:lvlText w:val="•"/>
      <w:lvlJc w:val="left"/>
      <w:pPr>
        <w:ind w:left="8800" w:hanging="307"/>
      </w:pPr>
    </w:lvl>
  </w:abstractNum>
  <w:abstractNum w:abstractNumId="5" w15:restartNumberingAfterBreak="0">
    <w:nsid w:val="02454F2F"/>
    <w:multiLevelType w:val="hybridMultilevel"/>
    <w:tmpl w:val="5F8AC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A6225"/>
    <w:multiLevelType w:val="hybridMultilevel"/>
    <w:tmpl w:val="B1CA25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FE2AB8"/>
    <w:multiLevelType w:val="hybridMultilevel"/>
    <w:tmpl w:val="40C8C350"/>
    <w:lvl w:ilvl="0" w:tplc="8F0ADC9E">
      <w:start w:val="1"/>
      <w:numFmt w:val="decimal"/>
      <w:lvlText w:val="%1."/>
      <w:lvlJc w:val="left"/>
      <w:pPr>
        <w:tabs>
          <w:tab w:val="num" w:pos="720"/>
        </w:tabs>
        <w:ind w:left="72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6A3EA0"/>
    <w:multiLevelType w:val="hybridMultilevel"/>
    <w:tmpl w:val="8E304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B27DB0"/>
    <w:multiLevelType w:val="hybridMultilevel"/>
    <w:tmpl w:val="CD36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A3C9F"/>
    <w:multiLevelType w:val="hybridMultilevel"/>
    <w:tmpl w:val="AEC2CE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2D5777"/>
    <w:multiLevelType w:val="hybridMultilevel"/>
    <w:tmpl w:val="1AF48BB0"/>
    <w:lvl w:ilvl="0" w:tplc="7DCC57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5C080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C73255A"/>
    <w:multiLevelType w:val="hybridMultilevel"/>
    <w:tmpl w:val="EC6EF23C"/>
    <w:lvl w:ilvl="0" w:tplc="7DCC5750">
      <w:start w:val="1"/>
      <w:numFmt w:val="upperRoman"/>
      <w:lvlText w:val="%1."/>
      <w:lvlJc w:val="left"/>
      <w:pPr>
        <w:tabs>
          <w:tab w:val="num" w:pos="360"/>
        </w:tabs>
        <w:ind w:left="360" w:hanging="360"/>
      </w:pPr>
      <w:rPr>
        <w:rFonts w:hint="default"/>
      </w:rPr>
    </w:lvl>
    <w:lvl w:ilvl="1" w:tplc="A010F1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C2201E"/>
    <w:multiLevelType w:val="hybridMultilevel"/>
    <w:tmpl w:val="FA181F44"/>
    <w:lvl w:ilvl="0" w:tplc="FC18DA9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F0C77"/>
    <w:multiLevelType w:val="hybridMultilevel"/>
    <w:tmpl w:val="D97603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8656CA4"/>
    <w:multiLevelType w:val="hybridMultilevel"/>
    <w:tmpl w:val="C55C0256"/>
    <w:lvl w:ilvl="0" w:tplc="1BEA53E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89C2B73"/>
    <w:multiLevelType w:val="hybridMultilevel"/>
    <w:tmpl w:val="476431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8496B"/>
    <w:multiLevelType w:val="hybridMultilevel"/>
    <w:tmpl w:val="80A0197A"/>
    <w:lvl w:ilvl="0" w:tplc="0409000F">
      <w:start w:val="1"/>
      <w:numFmt w:val="decimal"/>
      <w:lvlText w:val="%1."/>
      <w:lvlJc w:val="left"/>
      <w:pPr>
        <w:tabs>
          <w:tab w:val="num" w:pos="720"/>
        </w:tabs>
        <w:ind w:left="720" w:hanging="360"/>
      </w:pPr>
      <w:rPr>
        <w:rFonts w:hint="default"/>
      </w:rPr>
    </w:lvl>
    <w:lvl w:ilvl="1" w:tplc="A010F1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033FBB"/>
    <w:multiLevelType w:val="hybridMultilevel"/>
    <w:tmpl w:val="723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F4DF7"/>
    <w:multiLevelType w:val="hybridMultilevel"/>
    <w:tmpl w:val="A7FE506A"/>
    <w:lvl w:ilvl="0" w:tplc="3F6CA51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FA09FA"/>
    <w:multiLevelType w:val="hybridMultilevel"/>
    <w:tmpl w:val="F9CCA1FE"/>
    <w:lvl w:ilvl="0" w:tplc="493AC536">
      <w:start w:val="1"/>
      <w:numFmt w:val="bullet"/>
      <w:lvlText w:val=""/>
      <w:lvlJc w:val="left"/>
      <w:pPr>
        <w:tabs>
          <w:tab w:val="num" w:pos="720"/>
        </w:tabs>
        <w:ind w:left="720" w:hanging="720"/>
      </w:pPr>
      <w:rPr>
        <w:rFonts w:ascii="Symbol" w:hAnsi="Symbol" w:hint="default"/>
      </w:rPr>
    </w:lvl>
    <w:lvl w:ilvl="1" w:tplc="3F6CA51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252716"/>
    <w:multiLevelType w:val="multilevel"/>
    <w:tmpl w:val="1B8C43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11420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4674869"/>
    <w:multiLevelType w:val="hybridMultilevel"/>
    <w:tmpl w:val="38D839BA"/>
    <w:lvl w:ilvl="0" w:tplc="493AC53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D5D78"/>
    <w:multiLevelType w:val="hybridMultilevel"/>
    <w:tmpl w:val="27F0AAD6"/>
    <w:lvl w:ilvl="0" w:tplc="0409000F">
      <w:start w:val="1"/>
      <w:numFmt w:val="decimal"/>
      <w:lvlText w:val="%1."/>
      <w:lvlJc w:val="left"/>
      <w:pPr>
        <w:tabs>
          <w:tab w:val="num" w:pos="720"/>
        </w:tabs>
        <w:ind w:left="720" w:hanging="360"/>
      </w:pPr>
      <w:rPr>
        <w:rFonts w:hint="default"/>
      </w:rPr>
    </w:lvl>
    <w:lvl w:ilvl="1" w:tplc="88B4EF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71BC3"/>
    <w:multiLevelType w:val="hybridMultilevel"/>
    <w:tmpl w:val="40C8C350"/>
    <w:lvl w:ilvl="0" w:tplc="8F0ADC9E">
      <w:start w:val="1"/>
      <w:numFmt w:val="decimal"/>
      <w:lvlText w:val="%1."/>
      <w:lvlJc w:val="left"/>
      <w:pPr>
        <w:tabs>
          <w:tab w:val="num" w:pos="720"/>
        </w:tabs>
        <w:ind w:left="720" w:hanging="360"/>
      </w:pPr>
      <w:rPr>
        <w:strike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D3050"/>
    <w:multiLevelType w:val="hybridMultilevel"/>
    <w:tmpl w:val="533CBB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9374FC"/>
    <w:multiLevelType w:val="hybridMultilevel"/>
    <w:tmpl w:val="9BE06814"/>
    <w:lvl w:ilvl="0" w:tplc="0409000F">
      <w:start w:val="1"/>
      <w:numFmt w:val="decimal"/>
      <w:lvlText w:val="%1."/>
      <w:lvlJc w:val="left"/>
      <w:pPr>
        <w:tabs>
          <w:tab w:val="num" w:pos="360"/>
        </w:tabs>
        <w:ind w:left="360" w:hanging="360"/>
      </w:pPr>
      <w:rPr>
        <w:rFonts w:hint="default"/>
      </w:rPr>
    </w:lvl>
    <w:lvl w:ilvl="1" w:tplc="88B4EF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B73CDE"/>
    <w:multiLevelType w:val="hybridMultilevel"/>
    <w:tmpl w:val="8E68C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3825DF"/>
    <w:multiLevelType w:val="hybridMultilevel"/>
    <w:tmpl w:val="F7AE6F9E"/>
    <w:lvl w:ilvl="0" w:tplc="0409000F">
      <w:start w:val="1"/>
      <w:numFmt w:val="decimal"/>
      <w:lvlText w:val="%1."/>
      <w:lvlJc w:val="left"/>
      <w:pPr>
        <w:tabs>
          <w:tab w:val="num" w:pos="720"/>
        </w:tabs>
        <w:ind w:left="720" w:hanging="360"/>
      </w:pPr>
      <w:rPr>
        <w:rFonts w:hint="default"/>
      </w:rPr>
    </w:lvl>
    <w:lvl w:ilvl="1" w:tplc="A010F1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23"/>
  </w:num>
  <w:num w:numId="4">
    <w:abstractNumId w:val="25"/>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5"/>
  </w:num>
  <w:num w:numId="7">
    <w:abstractNumId w:val="33"/>
  </w:num>
  <w:num w:numId="8">
    <w:abstractNumId w:val="14"/>
  </w:num>
  <w:num w:numId="9">
    <w:abstractNumId w:val="2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2"/>
  </w:num>
  <w:num w:numId="13">
    <w:abstractNumId w:val="29"/>
  </w:num>
  <w:num w:numId="14">
    <w:abstractNumId w:val="13"/>
  </w:num>
  <w:num w:numId="15">
    <w:abstractNumId w:val="31"/>
  </w:num>
  <w:num w:numId="16">
    <w:abstractNumId w:val="27"/>
  </w:num>
  <w:num w:numId="17">
    <w:abstractNumId w:val="34"/>
  </w:num>
  <w:num w:numId="18">
    <w:abstractNumId w:val="16"/>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7"/>
  </w:num>
  <w:num w:numId="23">
    <w:abstractNumId w:val="30"/>
  </w:num>
  <w:num w:numId="24">
    <w:abstractNumId w:val="6"/>
  </w:num>
  <w:num w:numId="25">
    <w:abstractNumId w:val="10"/>
  </w:num>
  <w:num w:numId="26">
    <w:abstractNumId w:val="8"/>
  </w:num>
  <w:num w:numId="27">
    <w:abstractNumId w:val="4"/>
  </w:num>
  <w:num w:numId="28">
    <w:abstractNumId w:val="3"/>
  </w:num>
  <w:num w:numId="29">
    <w:abstractNumId w:val="9"/>
  </w:num>
  <w:num w:numId="30">
    <w:abstractNumId w:val="24"/>
  </w:num>
  <w:num w:numId="31">
    <w:abstractNumId w:val="26"/>
  </w:num>
  <w:num w:numId="32">
    <w:abstractNumId w:val="22"/>
  </w:num>
  <w:num w:numId="33">
    <w:abstractNumId w:val="20"/>
  </w:num>
  <w:num w:numId="34">
    <w:abstractNumId w:val="15"/>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62C1"/>
    <w:rsid w:val="0000361F"/>
    <w:rsid w:val="000052C7"/>
    <w:rsid w:val="00010F99"/>
    <w:rsid w:val="000163F9"/>
    <w:rsid w:val="00024E52"/>
    <w:rsid w:val="00042F75"/>
    <w:rsid w:val="000577BA"/>
    <w:rsid w:val="000658E8"/>
    <w:rsid w:val="0007603C"/>
    <w:rsid w:val="00091BF5"/>
    <w:rsid w:val="000953C7"/>
    <w:rsid w:val="000A2068"/>
    <w:rsid w:val="000A61F0"/>
    <w:rsid w:val="000A6A50"/>
    <w:rsid w:val="000F450B"/>
    <w:rsid w:val="001147FA"/>
    <w:rsid w:val="00147C7E"/>
    <w:rsid w:val="00154735"/>
    <w:rsid w:val="00155B80"/>
    <w:rsid w:val="00157DE1"/>
    <w:rsid w:val="00175BC1"/>
    <w:rsid w:val="00180991"/>
    <w:rsid w:val="001A242D"/>
    <w:rsid w:val="001A6BDF"/>
    <w:rsid w:val="001B69DD"/>
    <w:rsid w:val="001C3410"/>
    <w:rsid w:val="001C694D"/>
    <w:rsid w:val="001C747B"/>
    <w:rsid w:val="001D10F8"/>
    <w:rsid w:val="00217F12"/>
    <w:rsid w:val="00222341"/>
    <w:rsid w:val="00246D99"/>
    <w:rsid w:val="002656DC"/>
    <w:rsid w:val="002677B5"/>
    <w:rsid w:val="002823AA"/>
    <w:rsid w:val="002936D0"/>
    <w:rsid w:val="0029771C"/>
    <w:rsid w:val="002A6D64"/>
    <w:rsid w:val="002B67AC"/>
    <w:rsid w:val="002C2EBA"/>
    <w:rsid w:val="002D401B"/>
    <w:rsid w:val="002F4491"/>
    <w:rsid w:val="002F5533"/>
    <w:rsid w:val="002F76DA"/>
    <w:rsid w:val="003038CD"/>
    <w:rsid w:val="00316E9F"/>
    <w:rsid w:val="00323351"/>
    <w:rsid w:val="00324C72"/>
    <w:rsid w:val="00335E14"/>
    <w:rsid w:val="00346DCE"/>
    <w:rsid w:val="00347FE6"/>
    <w:rsid w:val="00350FB4"/>
    <w:rsid w:val="003564EE"/>
    <w:rsid w:val="00362C50"/>
    <w:rsid w:val="00364DA0"/>
    <w:rsid w:val="00381246"/>
    <w:rsid w:val="003A4D77"/>
    <w:rsid w:val="003A6221"/>
    <w:rsid w:val="003C18DA"/>
    <w:rsid w:val="003C43C3"/>
    <w:rsid w:val="003C5BBF"/>
    <w:rsid w:val="003D0F39"/>
    <w:rsid w:val="003E3028"/>
    <w:rsid w:val="003F282B"/>
    <w:rsid w:val="00403231"/>
    <w:rsid w:val="00407E5A"/>
    <w:rsid w:val="00415E28"/>
    <w:rsid w:val="004219B4"/>
    <w:rsid w:val="0042231D"/>
    <w:rsid w:val="00424D89"/>
    <w:rsid w:val="004442BD"/>
    <w:rsid w:val="004516C3"/>
    <w:rsid w:val="00451B87"/>
    <w:rsid w:val="0047281B"/>
    <w:rsid w:val="00473C12"/>
    <w:rsid w:val="00477518"/>
    <w:rsid w:val="004806C8"/>
    <w:rsid w:val="004843B4"/>
    <w:rsid w:val="004A79E7"/>
    <w:rsid w:val="004C5676"/>
    <w:rsid w:val="004D18F4"/>
    <w:rsid w:val="005004B0"/>
    <w:rsid w:val="00504CD3"/>
    <w:rsid w:val="0050576A"/>
    <w:rsid w:val="005112C2"/>
    <w:rsid w:val="005170C5"/>
    <w:rsid w:val="005211BC"/>
    <w:rsid w:val="00527AEA"/>
    <w:rsid w:val="00536B6D"/>
    <w:rsid w:val="00541948"/>
    <w:rsid w:val="00546FBA"/>
    <w:rsid w:val="005506B1"/>
    <w:rsid w:val="00556F05"/>
    <w:rsid w:val="00557CE6"/>
    <w:rsid w:val="00561043"/>
    <w:rsid w:val="00566755"/>
    <w:rsid w:val="00575B52"/>
    <w:rsid w:val="00582CCA"/>
    <w:rsid w:val="005900D5"/>
    <w:rsid w:val="005955C0"/>
    <w:rsid w:val="005A3494"/>
    <w:rsid w:val="005B1CD5"/>
    <w:rsid w:val="005B7BDE"/>
    <w:rsid w:val="005E33AD"/>
    <w:rsid w:val="005E3E3A"/>
    <w:rsid w:val="005F30CE"/>
    <w:rsid w:val="00612D7C"/>
    <w:rsid w:val="006168CC"/>
    <w:rsid w:val="00617628"/>
    <w:rsid w:val="006245DF"/>
    <w:rsid w:val="0062633E"/>
    <w:rsid w:val="00641003"/>
    <w:rsid w:val="00642B4A"/>
    <w:rsid w:val="00652437"/>
    <w:rsid w:val="006826DF"/>
    <w:rsid w:val="0068727D"/>
    <w:rsid w:val="00696ED2"/>
    <w:rsid w:val="006A674A"/>
    <w:rsid w:val="006B058C"/>
    <w:rsid w:val="006B2193"/>
    <w:rsid w:val="006B6E0A"/>
    <w:rsid w:val="006C196C"/>
    <w:rsid w:val="006D17EF"/>
    <w:rsid w:val="006E1427"/>
    <w:rsid w:val="006E554F"/>
    <w:rsid w:val="006F517B"/>
    <w:rsid w:val="006F625D"/>
    <w:rsid w:val="00713A49"/>
    <w:rsid w:val="00720ECF"/>
    <w:rsid w:val="00727FBC"/>
    <w:rsid w:val="00741A7B"/>
    <w:rsid w:val="00754A47"/>
    <w:rsid w:val="00762AA1"/>
    <w:rsid w:val="00772D5C"/>
    <w:rsid w:val="00773D1D"/>
    <w:rsid w:val="00781F90"/>
    <w:rsid w:val="007A0E18"/>
    <w:rsid w:val="007B236B"/>
    <w:rsid w:val="007C05EA"/>
    <w:rsid w:val="007D4F58"/>
    <w:rsid w:val="007E005E"/>
    <w:rsid w:val="007E4C76"/>
    <w:rsid w:val="0080410B"/>
    <w:rsid w:val="00807B1F"/>
    <w:rsid w:val="008213D3"/>
    <w:rsid w:val="0082598E"/>
    <w:rsid w:val="008267E7"/>
    <w:rsid w:val="00841E9A"/>
    <w:rsid w:val="0084206A"/>
    <w:rsid w:val="00856228"/>
    <w:rsid w:val="00860074"/>
    <w:rsid w:val="0086312C"/>
    <w:rsid w:val="0086382F"/>
    <w:rsid w:val="00881EF7"/>
    <w:rsid w:val="008860CC"/>
    <w:rsid w:val="008938FF"/>
    <w:rsid w:val="008978E5"/>
    <w:rsid w:val="008A6687"/>
    <w:rsid w:val="008A6D9C"/>
    <w:rsid w:val="008B733C"/>
    <w:rsid w:val="008D1C12"/>
    <w:rsid w:val="008D5364"/>
    <w:rsid w:val="008D785A"/>
    <w:rsid w:val="008E4C64"/>
    <w:rsid w:val="008F703E"/>
    <w:rsid w:val="00901F45"/>
    <w:rsid w:val="00927CBC"/>
    <w:rsid w:val="009309BF"/>
    <w:rsid w:val="00931B3B"/>
    <w:rsid w:val="00933E9E"/>
    <w:rsid w:val="009379A9"/>
    <w:rsid w:val="0094557E"/>
    <w:rsid w:val="0095006C"/>
    <w:rsid w:val="00962971"/>
    <w:rsid w:val="009725A3"/>
    <w:rsid w:val="00982D9C"/>
    <w:rsid w:val="00982F50"/>
    <w:rsid w:val="009846E0"/>
    <w:rsid w:val="009933B6"/>
    <w:rsid w:val="0099572F"/>
    <w:rsid w:val="00995A23"/>
    <w:rsid w:val="009A36A8"/>
    <w:rsid w:val="009B3B26"/>
    <w:rsid w:val="009C5C48"/>
    <w:rsid w:val="009D061F"/>
    <w:rsid w:val="009E4ACE"/>
    <w:rsid w:val="009F3845"/>
    <w:rsid w:val="00A05270"/>
    <w:rsid w:val="00A0775A"/>
    <w:rsid w:val="00A110D9"/>
    <w:rsid w:val="00A35456"/>
    <w:rsid w:val="00A45D9F"/>
    <w:rsid w:val="00A46CF2"/>
    <w:rsid w:val="00A57F16"/>
    <w:rsid w:val="00A76A7C"/>
    <w:rsid w:val="00A9636B"/>
    <w:rsid w:val="00AA169F"/>
    <w:rsid w:val="00AB6CFA"/>
    <w:rsid w:val="00AE2A7D"/>
    <w:rsid w:val="00AF77B5"/>
    <w:rsid w:val="00B251FB"/>
    <w:rsid w:val="00B32463"/>
    <w:rsid w:val="00B364E4"/>
    <w:rsid w:val="00B40944"/>
    <w:rsid w:val="00B51137"/>
    <w:rsid w:val="00B6314F"/>
    <w:rsid w:val="00B71623"/>
    <w:rsid w:val="00B947B8"/>
    <w:rsid w:val="00BC6260"/>
    <w:rsid w:val="00BE2EF8"/>
    <w:rsid w:val="00BF6EEB"/>
    <w:rsid w:val="00C07DA1"/>
    <w:rsid w:val="00C11665"/>
    <w:rsid w:val="00C13EB1"/>
    <w:rsid w:val="00C306EE"/>
    <w:rsid w:val="00C30DF8"/>
    <w:rsid w:val="00C325D0"/>
    <w:rsid w:val="00C33A69"/>
    <w:rsid w:val="00C35A8A"/>
    <w:rsid w:val="00C36E76"/>
    <w:rsid w:val="00C60021"/>
    <w:rsid w:val="00C60D33"/>
    <w:rsid w:val="00C70423"/>
    <w:rsid w:val="00C72290"/>
    <w:rsid w:val="00C77F09"/>
    <w:rsid w:val="00C85FFE"/>
    <w:rsid w:val="00C87BF1"/>
    <w:rsid w:val="00CA774A"/>
    <w:rsid w:val="00CB1CE3"/>
    <w:rsid w:val="00CB4C44"/>
    <w:rsid w:val="00CB7FD0"/>
    <w:rsid w:val="00CC5FE4"/>
    <w:rsid w:val="00CD335D"/>
    <w:rsid w:val="00CD6D31"/>
    <w:rsid w:val="00CE08C9"/>
    <w:rsid w:val="00CE1D0F"/>
    <w:rsid w:val="00CF34EE"/>
    <w:rsid w:val="00D062C0"/>
    <w:rsid w:val="00D12B16"/>
    <w:rsid w:val="00D15D6A"/>
    <w:rsid w:val="00D24381"/>
    <w:rsid w:val="00D27856"/>
    <w:rsid w:val="00D3793D"/>
    <w:rsid w:val="00D576CF"/>
    <w:rsid w:val="00D667E6"/>
    <w:rsid w:val="00D714F1"/>
    <w:rsid w:val="00D7153A"/>
    <w:rsid w:val="00D72C31"/>
    <w:rsid w:val="00D74644"/>
    <w:rsid w:val="00D7732C"/>
    <w:rsid w:val="00D85962"/>
    <w:rsid w:val="00D87772"/>
    <w:rsid w:val="00D87F89"/>
    <w:rsid w:val="00DA3E91"/>
    <w:rsid w:val="00DA4021"/>
    <w:rsid w:val="00DB309E"/>
    <w:rsid w:val="00DD2A51"/>
    <w:rsid w:val="00DE1B0A"/>
    <w:rsid w:val="00DE2741"/>
    <w:rsid w:val="00DF55D7"/>
    <w:rsid w:val="00E03E8F"/>
    <w:rsid w:val="00E23A95"/>
    <w:rsid w:val="00E27D11"/>
    <w:rsid w:val="00E3303C"/>
    <w:rsid w:val="00E33359"/>
    <w:rsid w:val="00E33FC2"/>
    <w:rsid w:val="00E4083A"/>
    <w:rsid w:val="00E549F7"/>
    <w:rsid w:val="00E54CF4"/>
    <w:rsid w:val="00E76E2F"/>
    <w:rsid w:val="00E82C70"/>
    <w:rsid w:val="00E832A5"/>
    <w:rsid w:val="00E85A8E"/>
    <w:rsid w:val="00E91A47"/>
    <w:rsid w:val="00E946CF"/>
    <w:rsid w:val="00EA37DB"/>
    <w:rsid w:val="00EC2A0F"/>
    <w:rsid w:val="00EC4DFE"/>
    <w:rsid w:val="00ED052D"/>
    <w:rsid w:val="00EE6F89"/>
    <w:rsid w:val="00F20D94"/>
    <w:rsid w:val="00F25353"/>
    <w:rsid w:val="00F36DE1"/>
    <w:rsid w:val="00F4468F"/>
    <w:rsid w:val="00F47113"/>
    <w:rsid w:val="00F5352E"/>
    <w:rsid w:val="00F54B2D"/>
    <w:rsid w:val="00F64785"/>
    <w:rsid w:val="00F662C1"/>
    <w:rsid w:val="00F66409"/>
    <w:rsid w:val="00F8113C"/>
    <w:rsid w:val="00F90C93"/>
    <w:rsid w:val="00F9291D"/>
    <w:rsid w:val="00FB29FB"/>
    <w:rsid w:val="00FC12A6"/>
    <w:rsid w:val="00FD0A9E"/>
    <w:rsid w:val="00FD44DC"/>
    <w:rsid w:val="00FE05D7"/>
    <w:rsid w:val="00FE4C2D"/>
    <w:rsid w:val="00FE59DF"/>
    <w:rsid w:val="00FF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46047FF"/>
  <w15:docId w15:val="{8FD1B95A-F4A0-4C62-9207-7ADA300E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58E8"/>
    <w:pPr>
      <w:widowControl w:val="0"/>
    </w:pPr>
    <w:rPr>
      <w:snapToGrid w:val="0"/>
      <w:sz w:val="24"/>
    </w:rPr>
  </w:style>
  <w:style w:type="paragraph" w:styleId="Heading1">
    <w:name w:val="heading 1"/>
    <w:basedOn w:val="Normal"/>
    <w:next w:val="Normal"/>
    <w:qFormat/>
    <w:rsid w:val="000658E8"/>
    <w:pPr>
      <w:keepNext/>
      <w:ind w:right="-720"/>
      <w:outlineLvl w:val="0"/>
    </w:pPr>
    <w:rPr>
      <w:rFonts w:ascii="Book Antiqua" w:hAnsi="Book Antiqua"/>
      <w:b/>
      <w:u w:val="single"/>
    </w:rPr>
  </w:style>
  <w:style w:type="paragraph" w:styleId="Heading2">
    <w:name w:val="heading 2"/>
    <w:basedOn w:val="Normal"/>
    <w:next w:val="Normal"/>
    <w:qFormat/>
    <w:rsid w:val="000658E8"/>
    <w:pPr>
      <w:keepNext/>
      <w:tabs>
        <w:tab w:val="center" w:pos="1950"/>
      </w:tabs>
      <w:outlineLvl w:val="1"/>
    </w:pPr>
    <w:rPr>
      <w:b/>
    </w:rPr>
  </w:style>
  <w:style w:type="paragraph" w:styleId="Heading3">
    <w:name w:val="heading 3"/>
    <w:basedOn w:val="Normal"/>
    <w:next w:val="Normal"/>
    <w:qFormat/>
    <w:rsid w:val="000658E8"/>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0658E8"/>
    <w:pPr>
      <w:keepNext/>
      <w:ind w:right="-720"/>
      <w:outlineLvl w:val="3"/>
    </w:pPr>
    <w:rPr>
      <w:rFonts w:ascii="Verdana" w:hAnsi="Verdana"/>
      <w:b/>
      <w:sz w:val="22"/>
      <w:u w:val="single"/>
    </w:rPr>
  </w:style>
  <w:style w:type="paragraph" w:styleId="Heading5">
    <w:name w:val="heading 5"/>
    <w:basedOn w:val="Normal"/>
    <w:next w:val="Normal"/>
    <w:qFormat/>
    <w:rsid w:val="000658E8"/>
    <w:pPr>
      <w:keepNext/>
      <w:tabs>
        <w:tab w:val="left" w:pos="2880"/>
      </w:tabs>
      <w:spacing w:line="360" w:lineRule="auto"/>
      <w:outlineLvl w:val="4"/>
    </w:pPr>
    <w:rPr>
      <w:rFonts w:ascii="Verdana" w:hAnsi="Verdana"/>
      <w:b/>
      <w:sz w:val="22"/>
    </w:rPr>
  </w:style>
  <w:style w:type="paragraph" w:styleId="Heading6">
    <w:name w:val="heading 6"/>
    <w:basedOn w:val="Normal"/>
    <w:next w:val="Normal"/>
    <w:qFormat/>
    <w:rsid w:val="000658E8"/>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58E8"/>
  </w:style>
  <w:style w:type="paragraph" w:customStyle="1" w:styleId="Level1">
    <w:name w:val="Level 1"/>
    <w:basedOn w:val="Normal"/>
    <w:rsid w:val="000658E8"/>
    <w:pPr>
      <w:numPr>
        <w:numId w:val="1"/>
      </w:numPr>
      <w:ind w:left="720" w:hanging="720"/>
      <w:outlineLvl w:val="0"/>
    </w:pPr>
  </w:style>
  <w:style w:type="paragraph" w:styleId="Footer">
    <w:name w:val="footer"/>
    <w:basedOn w:val="Normal"/>
    <w:link w:val="FooterChar"/>
    <w:uiPriority w:val="99"/>
    <w:rsid w:val="000658E8"/>
    <w:pPr>
      <w:tabs>
        <w:tab w:val="center" w:pos="4320"/>
        <w:tab w:val="right" w:pos="8640"/>
      </w:tabs>
    </w:pPr>
  </w:style>
  <w:style w:type="paragraph" w:styleId="Header">
    <w:name w:val="header"/>
    <w:basedOn w:val="Normal"/>
    <w:link w:val="HeaderChar"/>
    <w:rsid w:val="000658E8"/>
    <w:pPr>
      <w:tabs>
        <w:tab w:val="center" w:pos="4320"/>
        <w:tab w:val="right" w:pos="8640"/>
      </w:tabs>
    </w:pPr>
  </w:style>
  <w:style w:type="character" w:styleId="PageNumber">
    <w:name w:val="page number"/>
    <w:basedOn w:val="DefaultParagraphFont"/>
    <w:rsid w:val="000658E8"/>
  </w:style>
  <w:style w:type="paragraph" w:customStyle="1" w:styleId="PPTitle">
    <w:name w:val="P&amp;PTitle"/>
    <w:basedOn w:val="Heading1"/>
    <w:rsid w:val="000658E8"/>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0658E8"/>
    <w:pPr>
      <w:widowControl/>
      <w:spacing w:after="80"/>
      <w:jc w:val="center"/>
    </w:pPr>
    <w:rPr>
      <w:rFonts w:ascii="Arial Black" w:hAnsi="Arial Black"/>
      <w:sz w:val="16"/>
    </w:rPr>
  </w:style>
  <w:style w:type="paragraph" w:customStyle="1" w:styleId="Style">
    <w:name w:val="Style"/>
    <w:basedOn w:val="Normal"/>
    <w:rsid w:val="000658E8"/>
    <w:pPr>
      <w:ind w:left="720" w:hanging="720"/>
    </w:pPr>
  </w:style>
  <w:style w:type="paragraph" w:styleId="BodyText">
    <w:name w:val="Body Text"/>
    <w:basedOn w:val="Normal"/>
    <w:rsid w:val="000658E8"/>
    <w:pPr>
      <w:ind w:right="-720"/>
    </w:pPr>
    <w:rPr>
      <w:rFonts w:ascii="Arial" w:hAnsi="Arial" w:cs="Arial"/>
      <w:sz w:val="22"/>
    </w:rPr>
  </w:style>
  <w:style w:type="paragraph" w:styleId="BalloonText">
    <w:name w:val="Balloon Text"/>
    <w:basedOn w:val="Normal"/>
    <w:semiHidden/>
    <w:rsid w:val="00C70423"/>
    <w:rPr>
      <w:rFonts w:ascii="Tahoma" w:hAnsi="Tahoma" w:cs="Tahoma"/>
      <w:sz w:val="16"/>
      <w:szCs w:val="16"/>
    </w:rPr>
  </w:style>
  <w:style w:type="paragraph" w:styleId="ListParagraph">
    <w:name w:val="List Paragraph"/>
    <w:basedOn w:val="Normal"/>
    <w:uiPriority w:val="34"/>
    <w:qFormat/>
    <w:rsid w:val="008A6D9C"/>
    <w:pPr>
      <w:ind w:left="720"/>
      <w:contextualSpacing/>
    </w:pPr>
  </w:style>
  <w:style w:type="paragraph" w:customStyle="1" w:styleId="body1">
    <w:name w:val="body 1"/>
    <w:basedOn w:val="Normal"/>
    <w:rsid w:val="00C60021"/>
  </w:style>
  <w:style w:type="paragraph" w:styleId="BodyText2">
    <w:name w:val="Body Text 2"/>
    <w:basedOn w:val="Normal"/>
    <w:link w:val="BodyText2Char"/>
    <w:rsid w:val="00C60021"/>
    <w:pPr>
      <w:widowControl/>
      <w:spacing w:after="120" w:line="480" w:lineRule="auto"/>
    </w:pPr>
    <w:rPr>
      <w:snapToGrid/>
      <w:szCs w:val="24"/>
    </w:rPr>
  </w:style>
  <w:style w:type="character" w:customStyle="1" w:styleId="BodyText2Char">
    <w:name w:val="Body Text 2 Char"/>
    <w:basedOn w:val="DefaultParagraphFont"/>
    <w:link w:val="BodyText2"/>
    <w:rsid w:val="00C60021"/>
    <w:rPr>
      <w:sz w:val="24"/>
      <w:szCs w:val="24"/>
    </w:rPr>
  </w:style>
  <w:style w:type="paragraph" w:styleId="BodyText3">
    <w:name w:val="Body Text 3"/>
    <w:basedOn w:val="Normal"/>
    <w:link w:val="BodyText3Char"/>
    <w:rsid w:val="00C60021"/>
    <w:pPr>
      <w:widowControl/>
      <w:spacing w:after="120"/>
    </w:pPr>
    <w:rPr>
      <w:snapToGrid/>
      <w:sz w:val="16"/>
      <w:szCs w:val="16"/>
    </w:rPr>
  </w:style>
  <w:style w:type="character" w:customStyle="1" w:styleId="BodyText3Char">
    <w:name w:val="Body Text 3 Char"/>
    <w:basedOn w:val="DefaultParagraphFont"/>
    <w:link w:val="BodyText3"/>
    <w:rsid w:val="00C60021"/>
    <w:rPr>
      <w:sz w:val="16"/>
      <w:szCs w:val="16"/>
    </w:rPr>
  </w:style>
  <w:style w:type="paragraph" w:customStyle="1" w:styleId="bodytext4">
    <w:name w:val="body text 4"/>
    <w:basedOn w:val="BodyText"/>
    <w:rsid w:val="00C60021"/>
    <w:pPr>
      <w:widowControl/>
      <w:tabs>
        <w:tab w:val="left" w:pos="10080"/>
      </w:tabs>
      <w:spacing w:line="280" w:lineRule="exact"/>
      <w:ind w:left="-576" w:right="-576"/>
    </w:pPr>
    <w:rPr>
      <w:b/>
      <w:bCs/>
      <w:snapToGrid/>
      <w:sz w:val="24"/>
      <w:szCs w:val="24"/>
    </w:rPr>
  </w:style>
  <w:style w:type="paragraph" w:customStyle="1" w:styleId="Bullets">
    <w:name w:val="B ullets"/>
    <w:basedOn w:val="Normal"/>
    <w:qFormat/>
    <w:rsid w:val="00C60021"/>
    <w:pPr>
      <w:widowControl/>
      <w:numPr>
        <w:numId w:val="16"/>
      </w:numPr>
    </w:pPr>
    <w:rPr>
      <w:rFonts w:ascii="Arial" w:hAnsi="Arial" w:cs="Arial"/>
      <w:snapToGrid/>
      <w:szCs w:val="24"/>
    </w:rPr>
  </w:style>
  <w:style w:type="paragraph" w:customStyle="1" w:styleId="Table1">
    <w:name w:val="Table1"/>
    <w:basedOn w:val="body1"/>
    <w:qFormat/>
    <w:rsid w:val="00C60021"/>
    <w:pPr>
      <w:widowControl/>
    </w:pPr>
    <w:rPr>
      <w:b/>
      <w:noProof/>
      <w:snapToGrid/>
      <w:szCs w:val="24"/>
    </w:rPr>
  </w:style>
  <w:style w:type="paragraph" w:customStyle="1" w:styleId="Table2">
    <w:name w:val="Table2"/>
    <w:basedOn w:val="BodyText3"/>
    <w:qFormat/>
    <w:rsid w:val="00C60021"/>
    <w:pPr>
      <w:spacing w:after="0" w:line="240" w:lineRule="atLeast"/>
    </w:pPr>
    <w:rPr>
      <w:rFonts w:ascii="Arial" w:hAnsi="Arial" w:cs="Arial"/>
      <w:sz w:val="28"/>
      <w:szCs w:val="28"/>
    </w:rPr>
  </w:style>
  <w:style w:type="paragraph" w:customStyle="1" w:styleId="Table3">
    <w:name w:val="Table3"/>
    <w:basedOn w:val="bodytext4"/>
    <w:qFormat/>
    <w:rsid w:val="00C60021"/>
    <w:pPr>
      <w:tabs>
        <w:tab w:val="clear" w:pos="10080"/>
      </w:tabs>
      <w:spacing w:after="120" w:line="240" w:lineRule="atLeast"/>
      <w:ind w:left="0" w:right="0"/>
    </w:pPr>
    <w:rPr>
      <w:rFonts w:cs="Times New Roman"/>
      <w:bCs w:val="0"/>
    </w:rPr>
  </w:style>
  <w:style w:type="paragraph" w:customStyle="1" w:styleId="BodyText6">
    <w:name w:val="Body Text 6"/>
    <w:basedOn w:val="Normal"/>
    <w:qFormat/>
    <w:rsid w:val="00C60021"/>
    <w:pPr>
      <w:widowControl/>
      <w:spacing w:line="200" w:lineRule="atLeast"/>
      <w:jc w:val="both"/>
    </w:pPr>
    <w:rPr>
      <w:snapToGrid/>
      <w:sz w:val="16"/>
      <w:szCs w:val="24"/>
    </w:rPr>
  </w:style>
  <w:style w:type="character" w:customStyle="1" w:styleId="a">
    <w:name w:val="_"/>
    <w:basedOn w:val="DefaultParagraphFont"/>
    <w:rsid w:val="00042F75"/>
  </w:style>
  <w:style w:type="paragraph" w:customStyle="1" w:styleId="Style0">
    <w:name w:val="Style0"/>
    <w:rsid w:val="00042F75"/>
    <w:rPr>
      <w:rFonts w:ascii="Arial" w:hAnsi="Arial"/>
      <w:snapToGrid w:val="0"/>
      <w:sz w:val="24"/>
    </w:rPr>
  </w:style>
  <w:style w:type="paragraph" w:customStyle="1" w:styleId="Body10">
    <w:name w:val="Body 1"/>
    <w:basedOn w:val="Style0"/>
    <w:qFormat/>
    <w:rsid w:val="00042F75"/>
    <w:pPr>
      <w:widowControl w:val="0"/>
      <w:tabs>
        <w:tab w:val="left" w:pos="90"/>
      </w:tabs>
      <w:ind w:left="90"/>
    </w:pPr>
    <w:rPr>
      <w:bCs/>
      <w:sz w:val="28"/>
    </w:rPr>
  </w:style>
  <w:style w:type="paragraph" w:customStyle="1" w:styleId="Bullet1">
    <w:name w:val="Bullet 1"/>
    <w:basedOn w:val="Body10"/>
    <w:qFormat/>
    <w:rsid w:val="00042F75"/>
    <w:rPr>
      <w:sz w:val="24"/>
    </w:rPr>
  </w:style>
  <w:style w:type="paragraph" w:customStyle="1" w:styleId="Bullet2">
    <w:name w:val="Bullet 2"/>
    <w:basedOn w:val="EndnoteText"/>
    <w:qFormat/>
    <w:rsid w:val="00042F75"/>
  </w:style>
  <w:style w:type="paragraph" w:customStyle="1" w:styleId="Body2">
    <w:name w:val="Body 2"/>
    <w:basedOn w:val="Heading3"/>
    <w:qFormat/>
    <w:rsid w:val="00042F75"/>
    <w:pPr>
      <w:widowControl w:val="0"/>
      <w:tabs>
        <w:tab w:val="left" w:pos="-810"/>
        <w:tab w:val="left" w:pos="360"/>
      </w:tabs>
      <w:suppressAutoHyphens/>
      <w:spacing w:after="0" w:line="218" w:lineRule="auto"/>
      <w:ind w:left="360"/>
    </w:pPr>
    <w:rPr>
      <w:rFonts w:cs="Times New Roman"/>
      <w:b w:val="0"/>
      <w:bCs w:val="0"/>
      <w:noProof w:val="0"/>
      <w:snapToGrid w:val="0"/>
      <w:spacing w:val="0"/>
      <w:sz w:val="28"/>
      <w:szCs w:val="20"/>
    </w:rPr>
  </w:style>
  <w:style w:type="paragraph" w:customStyle="1" w:styleId="Bullet3">
    <w:name w:val="Bullet 3"/>
    <w:basedOn w:val="Normal"/>
    <w:qFormat/>
    <w:rsid w:val="00042F75"/>
    <w:pPr>
      <w:widowControl/>
    </w:pPr>
    <w:rPr>
      <w:rFonts w:ascii="Arial" w:hAnsi="Arial"/>
      <w:snapToGrid/>
      <w:szCs w:val="24"/>
    </w:rPr>
  </w:style>
  <w:style w:type="paragraph" w:customStyle="1" w:styleId="Body3">
    <w:name w:val="Body 3"/>
    <w:basedOn w:val="BodyText3"/>
    <w:qFormat/>
    <w:rsid w:val="00042F75"/>
    <w:pPr>
      <w:widowControl w:val="0"/>
      <w:tabs>
        <w:tab w:val="left" w:pos="-720"/>
        <w:tab w:val="left" w:pos="0"/>
        <w:tab w:val="left" w:pos="90"/>
      </w:tabs>
      <w:suppressAutoHyphens/>
      <w:spacing w:after="0" w:line="218" w:lineRule="auto"/>
      <w:jc w:val="center"/>
    </w:pPr>
    <w:rPr>
      <w:rFonts w:ascii="Arial" w:hAnsi="Arial" w:cs="Arial"/>
      <w:b/>
      <w:bCs/>
      <w:snapToGrid w:val="0"/>
      <w:sz w:val="24"/>
      <w:szCs w:val="24"/>
    </w:rPr>
  </w:style>
  <w:style w:type="paragraph" w:customStyle="1" w:styleId="Body4">
    <w:name w:val="Body 4"/>
    <w:basedOn w:val="Normal"/>
    <w:qFormat/>
    <w:rsid w:val="00042F75"/>
    <w:pPr>
      <w:widowControl/>
      <w:ind w:firstLine="450"/>
    </w:pPr>
    <w:rPr>
      <w:rFonts w:ascii="Arial" w:hAnsi="Arial" w:cs="Arial"/>
      <w:snapToGrid/>
      <w:sz w:val="28"/>
      <w:szCs w:val="28"/>
    </w:rPr>
  </w:style>
  <w:style w:type="paragraph" w:customStyle="1" w:styleId="Bullet4">
    <w:name w:val="Bullet 4"/>
    <w:basedOn w:val="Normal"/>
    <w:qFormat/>
    <w:rsid w:val="00042F75"/>
    <w:pPr>
      <w:numPr>
        <w:numId w:val="18"/>
      </w:numPr>
      <w:tabs>
        <w:tab w:val="left" w:pos="1080"/>
      </w:tabs>
      <w:ind w:left="1080" w:hanging="630"/>
    </w:pPr>
    <w:rPr>
      <w:rFonts w:ascii="Arial" w:hAnsi="Arial" w:cs="Arial"/>
      <w:snapToGrid/>
      <w:szCs w:val="24"/>
    </w:rPr>
  </w:style>
  <w:style w:type="paragraph" w:customStyle="1" w:styleId="Body5">
    <w:name w:val="Body 5"/>
    <w:basedOn w:val="Body4"/>
    <w:qFormat/>
    <w:rsid w:val="00042F75"/>
    <w:pPr>
      <w:ind w:firstLine="0"/>
    </w:pPr>
  </w:style>
  <w:style w:type="paragraph" w:styleId="EndnoteText">
    <w:name w:val="endnote text"/>
    <w:basedOn w:val="Normal"/>
    <w:link w:val="EndnoteTextChar"/>
    <w:rsid w:val="00042F75"/>
    <w:rPr>
      <w:sz w:val="20"/>
    </w:rPr>
  </w:style>
  <w:style w:type="character" w:customStyle="1" w:styleId="EndnoteTextChar">
    <w:name w:val="Endnote Text Char"/>
    <w:basedOn w:val="DefaultParagraphFont"/>
    <w:link w:val="EndnoteText"/>
    <w:rsid w:val="00042F75"/>
    <w:rPr>
      <w:snapToGrid w:val="0"/>
    </w:rPr>
  </w:style>
  <w:style w:type="character" w:customStyle="1" w:styleId="HeaderChar">
    <w:name w:val="Header Char"/>
    <w:basedOn w:val="DefaultParagraphFont"/>
    <w:link w:val="Header"/>
    <w:rsid w:val="00042F75"/>
    <w:rPr>
      <w:snapToGrid w:val="0"/>
      <w:sz w:val="24"/>
    </w:rPr>
  </w:style>
  <w:style w:type="paragraph" w:styleId="Revision">
    <w:name w:val="Revision"/>
    <w:hidden/>
    <w:uiPriority w:val="99"/>
    <w:semiHidden/>
    <w:rsid w:val="00933E9E"/>
    <w:rPr>
      <w:snapToGrid w:val="0"/>
      <w:sz w:val="24"/>
    </w:rPr>
  </w:style>
  <w:style w:type="character" w:customStyle="1" w:styleId="FooterChar">
    <w:name w:val="Footer Char"/>
    <w:basedOn w:val="DefaultParagraphFont"/>
    <w:link w:val="Footer"/>
    <w:uiPriority w:val="99"/>
    <w:rsid w:val="00DF55D7"/>
    <w:rPr>
      <w:snapToGrid w:val="0"/>
      <w:sz w:val="24"/>
    </w:rPr>
  </w:style>
  <w:style w:type="character" w:styleId="Hyperlink">
    <w:name w:val="Hyperlink"/>
    <w:basedOn w:val="DefaultParagraphFont"/>
    <w:rsid w:val="00B71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p3163\Local%20Settings\Temporary%20Internet%20Files\OLK13\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6711-C565-4F38-8DE3-114D4AD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87</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Brooks User</dc:creator>
  <cp:lastModifiedBy>Julie Smith</cp:lastModifiedBy>
  <cp:revision>9</cp:revision>
  <cp:lastPrinted>2018-04-24T16:24:00Z</cp:lastPrinted>
  <dcterms:created xsi:type="dcterms:W3CDTF">2018-05-10T18:57:00Z</dcterms:created>
  <dcterms:modified xsi:type="dcterms:W3CDTF">2020-06-29T18:07:00Z</dcterms:modified>
</cp:coreProperties>
</file>