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01"/>
        <w:gridCol w:w="2706"/>
        <w:gridCol w:w="4209"/>
      </w:tblGrid>
      <w:tr w:rsidR="004F1E2C" w14:paraId="3A4EAEFC" w14:textId="77777777" w:rsidTr="004F1E2C">
        <w:trPr>
          <w:cantSplit/>
          <w:trHeight w:val="383"/>
        </w:trPr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E303B5" w14:textId="77777777" w:rsidR="004F1E2C" w:rsidRPr="00C3276B" w:rsidRDefault="004F1E2C">
            <w:pPr>
              <w:pStyle w:val="Heading3"/>
              <w:rPr>
                <w:snapToGrid w:val="0"/>
                <w:sz w:val="36"/>
                <w:szCs w:val="28"/>
              </w:rPr>
            </w:pPr>
            <w:r w:rsidRPr="00C3276B">
              <w:rPr>
                <w:snapToGrid w:val="0"/>
                <w:sz w:val="36"/>
                <w:szCs w:val="28"/>
              </w:rPr>
              <w:t>Resumption of Care and Recertification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1223C3" w14:textId="77777777" w:rsidR="004F1E2C" w:rsidRPr="00C3276B" w:rsidRDefault="004F1E2C" w:rsidP="00C3276B">
            <w:pPr>
              <w:spacing w:before="40"/>
              <w:rPr>
                <w:rFonts w:ascii="Arial" w:hAnsi="Arial" w:cs="Arial"/>
                <w:b/>
                <w:bCs/>
                <w:szCs w:val="24"/>
              </w:rPr>
            </w:pPr>
            <w:r w:rsidRPr="00C3276B">
              <w:rPr>
                <w:rFonts w:ascii="Arial" w:hAnsi="Arial" w:cs="Arial"/>
                <w:b/>
                <w:bCs/>
                <w:szCs w:val="24"/>
              </w:rPr>
              <w:t>Last Revision:</w:t>
            </w:r>
            <w:r w:rsidRPr="00C3276B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F2EBD9" w14:textId="77777777" w:rsidR="004F1E2C" w:rsidRPr="004F1E2C" w:rsidRDefault="00590373">
            <w:pPr>
              <w:tabs>
                <w:tab w:val="center" w:pos="4680"/>
                <w:tab w:val="right" w:pos="9360"/>
              </w:tabs>
              <w:spacing w:before="40"/>
              <w:rPr>
                <w:rFonts w:ascii="Arial" w:hAnsi="Arial" w:cs="Arial"/>
                <w:strike/>
                <w:szCs w:val="24"/>
              </w:rPr>
            </w:pPr>
            <w:r>
              <w:rPr>
                <w:rFonts w:ascii="Arial" w:hAnsi="Arial" w:cs="Arial"/>
                <w:szCs w:val="24"/>
              </w:rPr>
              <w:t>April 2017</w:t>
            </w:r>
          </w:p>
        </w:tc>
      </w:tr>
      <w:tr w:rsidR="004F1E2C" w14:paraId="014B57AC" w14:textId="77777777" w:rsidTr="004F1E2C">
        <w:trPr>
          <w:cantSplit/>
          <w:trHeight w:val="383"/>
        </w:trPr>
        <w:tc>
          <w:tcPr>
            <w:tcW w:w="4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79BDA80" w14:textId="77777777" w:rsidR="004F1E2C" w:rsidRDefault="004F1E2C">
            <w:pPr>
              <w:pStyle w:val="Heading3"/>
              <w:rPr>
                <w:snapToGrid w:val="0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1A625A" w14:textId="77777777" w:rsidR="004F1E2C" w:rsidRPr="00C3276B" w:rsidRDefault="004F1E2C">
            <w:pPr>
              <w:spacing w:before="40"/>
              <w:rPr>
                <w:rFonts w:ascii="Arial" w:hAnsi="Arial" w:cs="Arial"/>
                <w:b/>
                <w:bCs/>
                <w:szCs w:val="24"/>
              </w:rPr>
            </w:pPr>
            <w:r w:rsidRPr="00C3276B">
              <w:rPr>
                <w:rFonts w:ascii="Arial" w:hAnsi="Arial" w:cs="Arial"/>
                <w:b/>
                <w:bCs/>
                <w:szCs w:val="24"/>
              </w:rPr>
              <w:t>Last Reviewed: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3BE84A" w14:textId="1781D7B8" w:rsidR="004F1E2C" w:rsidRPr="004F1E2C" w:rsidRDefault="00590373" w:rsidP="007E4F4B">
            <w:pPr>
              <w:spacing w:before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April </w:t>
            </w:r>
            <w:bookmarkStart w:id="0" w:name="_GoBack"/>
            <w:bookmarkEnd w:id="0"/>
            <w:r w:rsidR="007503B9">
              <w:rPr>
                <w:rFonts w:ascii="Arial" w:hAnsi="Arial" w:cs="Arial"/>
                <w:szCs w:val="24"/>
              </w:rPr>
              <w:t>2019</w:t>
            </w:r>
          </w:p>
        </w:tc>
      </w:tr>
      <w:tr w:rsidR="004F1E2C" w14:paraId="09748DE9" w14:textId="77777777" w:rsidTr="004F1E2C">
        <w:trPr>
          <w:cantSplit/>
          <w:trHeight w:val="584"/>
        </w:trPr>
        <w:tc>
          <w:tcPr>
            <w:tcW w:w="4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6F0D78" w14:textId="77777777" w:rsidR="004F1E2C" w:rsidRDefault="004F1E2C">
            <w:pPr>
              <w:widowControl/>
              <w:snapToGrid/>
              <w:rPr>
                <w:rFonts w:ascii="Arial" w:hAnsi="Arial" w:cs="Arial"/>
                <w:b/>
                <w:bCs/>
                <w:noProof/>
                <w:snapToGrid w:val="0"/>
                <w:spacing w:val="-1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647FF9" w14:textId="77777777" w:rsidR="004F1E2C" w:rsidRPr="00C3276B" w:rsidRDefault="004F1E2C">
            <w:pPr>
              <w:spacing w:before="40"/>
              <w:rPr>
                <w:rFonts w:ascii="Arial" w:hAnsi="Arial" w:cs="Arial"/>
                <w:b/>
                <w:bCs/>
                <w:szCs w:val="24"/>
              </w:rPr>
            </w:pPr>
            <w:r w:rsidRPr="00C3276B">
              <w:rPr>
                <w:rFonts w:ascii="Arial" w:hAnsi="Arial" w:cs="Arial"/>
                <w:b/>
                <w:bCs/>
                <w:szCs w:val="24"/>
              </w:rPr>
              <w:t xml:space="preserve">Applies to the following THA Group of Companies: 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E4E6B" w14:textId="77777777" w:rsidR="004F1E2C" w:rsidRPr="004F1E2C" w:rsidRDefault="004F1E2C" w:rsidP="00EE7C0E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4F1E2C">
              <w:rPr>
                <w:rFonts w:ascii="Arial" w:hAnsi="Arial" w:cs="Arial"/>
                <w:szCs w:val="24"/>
              </w:rPr>
              <w:t>Island Health Care</w:t>
            </w:r>
          </w:p>
          <w:p w14:paraId="71634C57" w14:textId="77777777" w:rsidR="004F1E2C" w:rsidRPr="004F1E2C" w:rsidRDefault="004F1E2C" w:rsidP="004F1E2C">
            <w:pPr>
              <w:ind w:left="360"/>
              <w:rPr>
                <w:rFonts w:ascii="Arial" w:hAnsi="Arial" w:cs="Arial"/>
                <w:strike/>
                <w:szCs w:val="24"/>
              </w:rPr>
            </w:pPr>
          </w:p>
        </w:tc>
      </w:tr>
      <w:tr w:rsidR="004F1E2C" w14:paraId="52621A7C" w14:textId="77777777" w:rsidTr="004F1E2C">
        <w:trPr>
          <w:cantSplit/>
          <w:trHeight w:val="584"/>
        </w:trPr>
        <w:tc>
          <w:tcPr>
            <w:tcW w:w="4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D120" w14:textId="77777777" w:rsidR="004F1E2C" w:rsidRDefault="004F1E2C">
            <w:pPr>
              <w:pStyle w:val="Heading1"/>
              <w:spacing w:before="120" w:line="360" w:lineRule="exact"/>
              <w:ind w:left="259"/>
              <w:rPr>
                <w:rFonts w:ascii="Arial" w:hAnsi="Arial" w:cs="Arial"/>
                <w:sz w:val="32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879C48" w14:textId="77777777" w:rsidR="004F1E2C" w:rsidRPr="00C3276B" w:rsidRDefault="004F1E2C">
            <w:pPr>
              <w:spacing w:before="40"/>
              <w:rPr>
                <w:rFonts w:ascii="Arial" w:hAnsi="Arial" w:cs="Arial"/>
                <w:b/>
                <w:bCs/>
                <w:szCs w:val="24"/>
              </w:rPr>
            </w:pPr>
            <w:r w:rsidRPr="00C3276B">
              <w:rPr>
                <w:rFonts w:ascii="Arial" w:hAnsi="Arial" w:cs="Arial"/>
                <w:b/>
                <w:bCs/>
                <w:szCs w:val="24"/>
              </w:rPr>
              <w:t>Included in the following THA Manual: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833FF5" w14:textId="77777777" w:rsidR="004F1E2C" w:rsidRPr="00C3276B" w:rsidRDefault="004F1E2C" w:rsidP="00C3276B">
            <w:pPr>
              <w:rPr>
                <w:rFonts w:ascii="Arial" w:hAnsi="Arial" w:cs="Arial"/>
                <w:szCs w:val="24"/>
              </w:rPr>
            </w:pPr>
            <w:r w:rsidRPr="00C3276B">
              <w:rPr>
                <w:rFonts w:ascii="Arial" w:hAnsi="Arial" w:cs="Arial"/>
                <w:szCs w:val="24"/>
              </w:rPr>
              <w:t>Administrative Policies &amp; Procedures</w:t>
            </w:r>
          </w:p>
          <w:p w14:paraId="0E3996FD" w14:textId="77777777" w:rsidR="004F1E2C" w:rsidRPr="00C3276B" w:rsidRDefault="004F1E2C" w:rsidP="00C3276B">
            <w:pPr>
              <w:ind w:left="332"/>
              <w:rPr>
                <w:rFonts w:ascii="Arial" w:hAnsi="Arial" w:cs="Arial"/>
                <w:szCs w:val="24"/>
              </w:rPr>
            </w:pPr>
            <w:r w:rsidRPr="00C3276B">
              <w:rPr>
                <w:rFonts w:ascii="Arial" w:hAnsi="Arial" w:cs="Arial"/>
                <w:szCs w:val="24"/>
              </w:rPr>
              <w:t>Provision of Care, Treatment &amp; Services</w:t>
            </w:r>
          </w:p>
        </w:tc>
      </w:tr>
    </w:tbl>
    <w:p w14:paraId="189EF831" w14:textId="77777777" w:rsidR="00F84058" w:rsidRDefault="00F84058" w:rsidP="00F84058">
      <w:pPr>
        <w:ind w:right="-720"/>
        <w:rPr>
          <w:rFonts w:ascii="Verdana" w:hAnsi="Verdana"/>
          <w:sz w:val="22"/>
        </w:rPr>
      </w:pPr>
    </w:p>
    <w:p w14:paraId="25A42DEB" w14:textId="77777777" w:rsidR="00F84058" w:rsidRDefault="00F84058" w:rsidP="00F84058">
      <w:pPr>
        <w:ind w:right="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 xml:space="preserve">PURPOSE </w:t>
      </w:r>
    </w:p>
    <w:p w14:paraId="26825A1A" w14:textId="77777777" w:rsidR="00F84058" w:rsidRDefault="00F84058" w:rsidP="00F84058">
      <w:pPr>
        <w:ind w:right="18"/>
        <w:jc w:val="both"/>
        <w:rPr>
          <w:rFonts w:ascii="Arial" w:hAnsi="Arial" w:cs="Arial"/>
          <w:szCs w:val="24"/>
        </w:rPr>
      </w:pPr>
    </w:p>
    <w:p w14:paraId="71C76717" w14:textId="77777777" w:rsidR="00F84058" w:rsidRDefault="00F84058" w:rsidP="00F84058">
      <w:pPr>
        <w:ind w:right="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Outline the process for resumption of care or recertification for continued care.  </w:t>
      </w:r>
    </w:p>
    <w:p w14:paraId="09CAE0C9" w14:textId="77777777" w:rsidR="00F84058" w:rsidRDefault="00F84058" w:rsidP="00F84058">
      <w:pPr>
        <w:ind w:right="14"/>
        <w:jc w:val="both"/>
        <w:rPr>
          <w:rFonts w:ascii="Arial" w:hAnsi="Arial" w:cs="Arial"/>
          <w:szCs w:val="24"/>
        </w:rPr>
      </w:pPr>
    </w:p>
    <w:p w14:paraId="471E2336" w14:textId="77777777" w:rsidR="00F84058" w:rsidRDefault="00F84058" w:rsidP="00F84058">
      <w:pPr>
        <w:pStyle w:val="Heading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POLICY </w:t>
      </w:r>
    </w:p>
    <w:p w14:paraId="6A399E30" w14:textId="77777777" w:rsidR="00F84058" w:rsidRDefault="00F84058" w:rsidP="00F84058">
      <w:pPr>
        <w:ind w:right="-720"/>
        <w:rPr>
          <w:rFonts w:ascii="Arial" w:hAnsi="Arial" w:cs="Arial"/>
          <w:szCs w:val="24"/>
        </w:rPr>
      </w:pPr>
    </w:p>
    <w:p w14:paraId="3F7693E5" w14:textId="77777777" w:rsidR="00F84058" w:rsidRPr="00C3276B" w:rsidRDefault="00F84058" w:rsidP="00F84058">
      <w:pPr>
        <w:ind w:right="1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When a patient’s needs change due to hospitalization or when a patient requires continued care after the initial episode</w:t>
      </w:r>
      <w:r w:rsidRPr="00C3276B">
        <w:rPr>
          <w:rFonts w:ascii="Arial" w:hAnsi="Arial" w:cs="Arial"/>
          <w:szCs w:val="24"/>
        </w:rPr>
        <w:t>, it is necessary to reassess and update the plan of care.  It is the policy to perform a reassessment of the patient within 48 hours of discharge from the hospital or as requested by the patient/client for resumption of care.  For recertification, it is the policy to perform a reassessment of the patient within 5 days of the end of the current episode (days 56-60).</w:t>
      </w:r>
    </w:p>
    <w:p w14:paraId="431486B7" w14:textId="77777777" w:rsidR="00F84058" w:rsidRPr="00C3276B" w:rsidRDefault="00F84058" w:rsidP="00F84058">
      <w:pPr>
        <w:ind w:right="14"/>
        <w:jc w:val="both"/>
        <w:rPr>
          <w:rFonts w:ascii="Arial" w:hAnsi="Arial" w:cs="Arial"/>
          <w:szCs w:val="24"/>
        </w:rPr>
      </w:pPr>
    </w:p>
    <w:p w14:paraId="0581021C" w14:textId="77777777" w:rsidR="00F84058" w:rsidRPr="00C3276B" w:rsidRDefault="00F84058" w:rsidP="00F84058">
      <w:pPr>
        <w:pStyle w:val="Heading4"/>
        <w:rPr>
          <w:rFonts w:ascii="Arial" w:hAnsi="Arial" w:cs="Arial"/>
          <w:sz w:val="24"/>
          <w:szCs w:val="24"/>
        </w:rPr>
      </w:pPr>
      <w:r w:rsidRPr="00C3276B">
        <w:rPr>
          <w:rFonts w:ascii="Arial" w:hAnsi="Arial" w:cs="Arial"/>
          <w:sz w:val="24"/>
          <w:szCs w:val="24"/>
        </w:rPr>
        <w:t xml:space="preserve">DEFINITIONS   </w:t>
      </w:r>
    </w:p>
    <w:p w14:paraId="413AA7AA" w14:textId="77777777" w:rsidR="00F84058" w:rsidRPr="00C3276B" w:rsidRDefault="00F84058" w:rsidP="00F84058">
      <w:pPr>
        <w:pStyle w:val="Heading4"/>
        <w:rPr>
          <w:rFonts w:ascii="Arial" w:hAnsi="Arial" w:cs="Arial"/>
          <w:b w:val="0"/>
          <w:sz w:val="24"/>
          <w:szCs w:val="24"/>
          <w:u w:val="none"/>
        </w:rPr>
      </w:pPr>
    </w:p>
    <w:p w14:paraId="023F0725" w14:textId="77777777" w:rsidR="00F84058" w:rsidRPr="00C3276B" w:rsidRDefault="00F84058" w:rsidP="00F84058">
      <w:pPr>
        <w:rPr>
          <w:rFonts w:ascii="Arial" w:hAnsi="Arial" w:cs="Arial"/>
          <w:szCs w:val="24"/>
        </w:rPr>
      </w:pPr>
      <w:r w:rsidRPr="00C3276B">
        <w:rPr>
          <w:rFonts w:ascii="Arial" w:hAnsi="Arial" w:cs="Arial"/>
          <w:szCs w:val="24"/>
        </w:rPr>
        <w:t>Recert = Recertification of the plan of care</w:t>
      </w:r>
    </w:p>
    <w:p w14:paraId="4701B683" w14:textId="77777777" w:rsidR="00F84058" w:rsidRPr="00C3276B" w:rsidRDefault="00F84058" w:rsidP="00F84058">
      <w:pPr>
        <w:rPr>
          <w:rFonts w:ascii="Arial" w:hAnsi="Arial" w:cs="Arial"/>
          <w:szCs w:val="24"/>
        </w:rPr>
      </w:pPr>
      <w:r w:rsidRPr="00C3276B">
        <w:rPr>
          <w:rFonts w:ascii="Arial" w:hAnsi="Arial" w:cs="Arial"/>
          <w:szCs w:val="24"/>
        </w:rPr>
        <w:t>Recert</w:t>
      </w:r>
      <w:r w:rsidR="00125F25">
        <w:rPr>
          <w:rFonts w:ascii="Arial" w:hAnsi="Arial" w:cs="Arial"/>
          <w:szCs w:val="24"/>
        </w:rPr>
        <w:t xml:space="preserve"> c</w:t>
      </w:r>
      <w:r w:rsidRPr="00C3276B">
        <w:rPr>
          <w:rFonts w:ascii="Arial" w:hAnsi="Arial" w:cs="Arial"/>
          <w:szCs w:val="24"/>
        </w:rPr>
        <w:t>riteria: Patient requires continued care past the current period of certification.</w:t>
      </w:r>
    </w:p>
    <w:p w14:paraId="27C38F8B" w14:textId="77777777" w:rsidR="00F84058" w:rsidRPr="00C3276B" w:rsidRDefault="00F84058" w:rsidP="00F84058">
      <w:pPr>
        <w:pStyle w:val="Heading4"/>
        <w:rPr>
          <w:rFonts w:ascii="Arial" w:hAnsi="Arial" w:cs="Arial"/>
          <w:b w:val="0"/>
          <w:sz w:val="24"/>
          <w:szCs w:val="24"/>
          <w:u w:val="none"/>
        </w:rPr>
      </w:pPr>
      <w:r w:rsidRPr="00C3276B">
        <w:rPr>
          <w:rFonts w:ascii="Arial" w:hAnsi="Arial" w:cs="Arial"/>
          <w:b w:val="0"/>
          <w:sz w:val="24"/>
          <w:szCs w:val="24"/>
          <w:u w:val="none"/>
        </w:rPr>
        <w:t>ROC = Resumption of Care</w:t>
      </w:r>
    </w:p>
    <w:p w14:paraId="14668AB6" w14:textId="77777777" w:rsidR="00F84058" w:rsidRPr="00C3276B" w:rsidRDefault="00125F25" w:rsidP="00F8405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ROC c</w:t>
      </w:r>
      <w:r w:rsidR="00F84058" w:rsidRPr="00C3276B">
        <w:rPr>
          <w:rFonts w:ascii="Arial" w:hAnsi="Arial" w:cs="Arial"/>
          <w:szCs w:val="24"/>
        </w:rPr>
        <w:t>riteria: Resumption of care following a hospitalization (inpatient stay 24 hours or longer) which occurs during an active episode with MD orders to resume home care services.</w:t>
      </w:r>
    </w:p>
    <w:p w14:paraId="3CE418F9" w14:textId="77777777" w:rsidR="001E7D5E" w:rsidRPr="00C3276B" w:rsidRDefault="001E7D5E" w:rsidP="00F84058">
      <w:pPr>
        <w:rPr>
          <w:rFonts w:ascii="Arial" w:hAnsi="Arial" w:cs="Arial"/>
          <w:szCs w:val="24"/>
        </w:rPr>
      </w:pPr>
    </w:p>
    <w:p w14:paraId="159ECC6B" w14:textId="77777777" w:rsidR="001E7D5E" w:rsidRPr="00C3276B" w:rsidRDefault="001E7D5E" w:rsidP="001E7D5E">
      <w:pPr>
        <w:pStyle w:val="Heading1"/>
        <w:rPr>
          <w:rFonts w:ascii="Arial" w:hAnsi="Arial" w:cs="Arial"/>
          <w:szCs w:val="24"/>
        </w:rPr>
      </w:pPr>
      <w:r w:rsidRPr="00C3276B">
        <w:rPr>
          <w:rFonts w:ascii="Arial" w:hAnsi="Arial" w:cs="Arial"/>
          <w:szCs w:val="24"/>
        </w:rPr>
        <w:t>PROCEDURE</w:t>
      </w:r>
    </w:p>
    <w:p w14:paraId="0814F50C" w14:textId="77777777" w:rsidR="001E7D5E" w:rsidRPr="00C3276B" w:rsidRDefault="001E7D5E" w:rsidP="001E7D5E">
      <w:pPr>
        <w:ind w:right="-720"/>
        <w:rPr>
          <w:rFonts w:ascii="Arial" w:hAnsi="Arial" w:cs="Arial"/>
          <w:szCs w:val="24"/>
          <w:u w:val="single"/>
        </w:rPr>
      </w:pPr>
    </w:p>
    <w:p w14:paraId="27098E79" w14:textId="77777777" w:rsidR="00125F25" w:rsidRPr="004F1E2C" w:rsidRDefault="00125F25" w:rsidP="001E7D5E">
      <w:pPr>
        <w:ind w:right="14"/>
        <w:jc w:val="both"/>
        <w:rPr>
          <w:rFonts w:ascii="Arial" w:hAnsi="Arial" w:cs="Arial"/>
          <w:szCs w:val="24"/>
        </w:rPr>
      </w:pPr>
      <w:r w:rsidRPr="004F1E2C">
        <w:rPr>
          <w:rFonts w:ascii="Arial" w:hAnsi="Arial" w:cs="Arial"/>
          <w:szCs w:val="24"/>
        </w:rPr>
        <w:t>For ROC, t</w:t>
      </w:r>
      <w:r w:rsidR="001E7D5E" w:rsidRPr="004F1E2C">
        <w:rPr>
          <w:rFonts w:ascii="Arial" w:hAnsi="Arial" w:cs="Arial"/>
          <w:szCs w:val="24"/>
        </w:rPr>
        <w:t xml:space="preserve">he clinician assigned is responsible for completion of a comprehensive assessment of the physical, psycho-social, environmental factors and an </w:t>
      </w:r>
      <w:r w:rsidR="001E7D5E" w:rsidRPr="004F1E2C">
        <w:rPr>
          <w:rFonts w:ascii="Arial" w:hAnsi="Arial" w:cs="Arial"/>
          <w:caps/>
          <w:szCs w:val="24"/>
        </w:rPr>
        <w:t>OASIS</w:t>
      </w:r>
      <w:r w:rsidR="00EE7C0E" w:rsidRPr="004F1E2C">
        <w:rPr>
          <w:rFonts w:ascii="Arial" w:hAnsi="Arial" w:cs="Arial"/>
          <w:caps/>
          <w:szCs w:val="24"/>
        </w:rPr>
        <w:t xml:space="preserve"> </w:t>
      </w:r>
      <w:r w:rsidR="00EE7C0E" w:rsidRPr="004F1E2C">
        <w:rPr>
          <w:rFonts w:ascii="Arial" w:hAnsi="Arial" w:cs="Arial"/>
          <w:szCs w:val="24"/>
        </w:rPr>
        <w:t>(Outcome and Assessment Information Set) w</w:t>
      </w:r>
      <w:r w:rsidR="001E7D5E" w:rsidRPr="004F1E2C">
        <w:rPr>
          <w:rFonts w:ascii="Arial" w:hAnsi="Arial" w:cs="Arial"/>
          <w:szCs w:val="24"/>
        </w:rPr>
        <w:t>ithin</w:t>
      </w:r>
      <w:r w:rsidR="001E7D5E" w:rsidRPr="004F1E2C">
        <w:rPr>
          <w:rFonts w:ascii="Arial" w:hAnsi="Arial" w:cs="Arial"/>
          <w:caps/>
          <w:szCs w:val="24"/>
        </w:rPr>
        <w:t xml:space="preserve"> </w:t>
      </w:r>
      <w:r w:rsidR="001E7D5E" w:rsidRPr="004F1E2C">
        <w:rPr>
          <w:rFonts w:ascii="Arial" w:hAnsi="Arial" w:cs="Arial"/>
          <w:szCs w:val="24"/>
        </w:rPr>
        <w:t>48 hours of discharge from the hospital or as ordered by the physician</w:t>
      </w:r>
      <w:r w:rsidR="00A10487" w:rsidRPr="004F1E2C">
        <w:rPr>
          <w:rFonts w:ascii="Arial" w:hAnsi="Arial" w:cs="Arial"/>
          <w:szCs w:val="24"/>
        </w:rPr>
        <w:t>.</w:t>
      </w:r>
      <w:r w:rsidR="002460DD">
        <w:rPr>
          <w:rFonts w:ascii="Arial" w:hAnsi="Arial" w:cs="Arial"/>
          <w:szCs w:val="24"/>
        </w:rPr>
        <w:t xml:space="preserve">  The patient must </w:t>
      </w:r>
      <w:r w:rsidR="00D372AD">
        <w:rPr>
          <w:rFonts w:ascii="Arial" w:hAnsi="Arial" w:cs="Arial"/>
          <w:szCs w:val="24"/>
        </w:rPr>
        <w:t xml:space="preserve">also </w:t>
      </w:r>
      <w:r w:rsidR="002460DD">
        <w:rPr>
          <w:rFonts w:ascii="Arial" w:hAnsi="Arial" w:cs="Arial"/>
          <w:szCs w:val="24"/>
        </w:rPr>
        <w:t>be weigh</w:t>
      </w:r>
      <w:r w:rsidR="00BC2296">
        <w:rPr>
          <w:rFonts w:ascii="Arial" w:hAnsi="Arial" w:cs="Arial"/>
          <w:szCs w:val="24"/>
        </w:rPr>
        <w:t>ed at</w:t>
      </w:r>
      <w:r w:rsidR="002460DD">
        <w:rPr>
          <w:rFonts w:ascii="Arial" w:hAnsi="Arial" w:cs="Arial"/>
          <w:szCs w:val="24"/>
        </w:rPr>
        <w:t xml:space="preserve"> resumption </w:t>
      </w:r>
      <w:r w:rsidR="00D372AD">
        <w:rPr>
          <w:rFonts w:ascii="Arial" w:hAnsi="Arial" w:cs="Arial"/>
          <w:szCs w:val="24"/>
        </w:rPr>
        <w:t>of care per protocol.</w:t>
      </w:r>
      <w:r w:rsidR="002460DD">
        <w:rPr>
          <w:rFonts w:ascii="Arial" w:hAnsi="Arial" w:cs="Arial"/>
          <w:szCs w:val="24"/>
        </w:rPr>
        <w:t xml:space="preserve"> Documentation must support the patient</w:t>
      </w:r>
      <w:r w:rsidR="00D372AD">
        <w:rPr>
          <w:rFonts w:ascii="Arial" w:hAnsi="Arial" w:cs="Arial"/>
          <w:szCs w:val="24"/>
        </w:rPr>
        <w:t>’s inability to stand (See Assessment &amp; Reassessment Policy).</w:t>
      </w:r>
    </w:p>
    <w:p w14:paraId="34AB8BE1" w14:textId="77777777" w:rsidR="00125F25" w:rsidRDefault="00125F25" w:rsidP="001E7D5E">
      <w:pPr>
        <w:ind w:right="14"/>
        <w:jc w:val="both"/>
        <w:rPr>
          <w:rFonts w:ascii="Arial" w:hAnsi="Arial" w:cs="Arial"/>
          <w:szCs w:val="24"/>
        </w:rPr>
      </w:pPr>
    </w:p>
    <w:p w14:paraId="3421FB00" w14:textId="77777777" w:rsidR="001E7D5E" w:rsidRPr="00C3276B" w:rsidRDefault="00A10487" w:rsidP="001E7D5E">
      <w:pPr>
        <w:ind w:right="14"/>
        <w:jc w:val="both"/>
        <w:rPr>
          <w:rFonts w:ascii="Arial" w:hAnsi="Arial" w:cs="Arial"/>
          <w:szCs w:val="24"/>
        </w:rPr>
      </w:pPr>
      <w:r w:rsidRPr="00C3276B">
        <w:rPr>
          <w:rFonts w:ascii="Arial" w:hAnsi="Arial" w:cs="Arial"/>
          <w:szCs w:val="24"/>
        </w:rPr>
        <w:t>For Recert,</w:t>
      </w:r>
      <w:r w:rsidR="001E7D5E" w:rsidRPr="00C3276B">
        <w:rPr>
          <w:rFonts w:ascii="Arial" w:hAnsi="Arial" w:cs="Arial"/>
          <w:szCs w:val="24"/>
        </w:rPr>
        <w:t xml:space="preserve"> the assigned clinician is responsible for completion of a comprehensive assessment of the physical, psycho-social and environmental factors, an </w:t>
      </w:r>
      <w:r w:rsidR="001E7D5E" w:rsidRPr="00C3276B">
        <w:rPr>
          <w:rFonts w:ascii="Arial" w:hAnsi="Arial" w:cs="Arial"/>
          <w:caps/>
          <w:szCs w:val="24"/>
        </w:rPr>
        <w:t>OASIS</w:t>
      </w:r>
      <w:r w:rsidR="00EE7C0E">
        <w:rPr>
          <w:rFonts w:ascii="Arial" w:hAnsi="Arial" w:cs="Arial"/>
          <w:caps/>
          <w:szCs w:val="24"/>
        </w:rPr>
        <w:t>,</w:t>
      </w:r>
      <w:r w:rsidR="001E7D5E" w:rsidRPr="00C3276B">
        <w:rPr>
          <w:rFonts w:ascii="Arial" w:hAnsi="Arial" w:cs="Arial"/>
          <w:szCs w:val="24"/>
        </w:rPr>
        <w:t xml:space="preserve"> and summary of care within 5 days of the end of the current episode.</w:t>
      </w:r>
    </w:p>
    <w:p w14:paraId="16A6F4B0" w14:textId="77777777" w:rsidR="001E7D5E" w:rsidRPr="00C3276B" w:rsidRDefault="001E7D5E" w:rsidP="001E7D5E">
      <w:pPr>
        <w:ind w:right="14"/>
        <w:jc w:val="both"/>
        <w:rPr>
          <w:rFonts w:ascii="Arial" w:hAnsi="Arial" w:cs="Arial"/>
          <w:szCs w:val="24"/>
        </w:rPr>
      </w:pPr>
    </w:p>
    <w:p w14:paraId="1E05B492" w14:textId="77777777" w:rsidR="00F84058" w:rsidRPr="00C3276B" w:rsidRDefault="00F84058" w:rsidP="00F84058">
      <w:pPr>
        <w:ind w:right="14"/>
        <w:jc w:val="both"/>
        <w:rPr>
          <w:rFonts w:ascii="Arial" w:hAnsi="Arial" w:cs="Arial"/>
          <w:szCs w:val="24"/>
        </w:rPr>
      </w:pPr>
      <w:r w:rsidRPr="00C3276B">
        <w:rPr>
          <w:rFonts w:ascii="Arial" w:hAnsi="Arial" w:cs="Arial"/>
          <w:szCs w:val="24"/>
        </w:rPr>
        <w:t>Updated physician orders are obtained.  The plan of care is updated to reflect changes in physician orders</w:t>
      </w:r>
      <w:r w:rsidR="001E7D5E" w:rsidRPr="00C3276B">
        <w:rPr>
          <w:rFonts w:ascii="Arial" w:hAnsi="Arial" w:cs="Arial"/>
          <w:szCs w:val="24"/>
        </w:rPr>
        <w:t>,</w:t>
      </w:r>
      <w:r w:rsidRPr="00C3276B">
        <w:rPr>
          <w:rFonts w:ascii="Arial" w:hAnsi="Arial" w:cs="Arial"/>
          <w:szCs w:val="24"/>
        </w:rPr>
        <w:t xml:space="preserve"> and medications </w:t>
      </w:r>
      <w:r w:rsidR="00B342A6" w:rsidRPr="00C3276B">
        <w:rPr>
          <w:rFonts w:ascii="Arial" w:hAnsi="Arial" w:cs="Arial"/>
          <w:szCs w:val="24"/>
        </w:rPr>
        <w:t xml:space="preserve">are </w:t>
      </w:r>
      <w:r w:rsidRPr="00C3276B">
        <w:rPr>
          <w:rFonts w:ascii="Arial" w:hAnsi="Arial" w:cs="Arial"/>
          <w:szCs w:val="24"/>
        </w:rPr>
        <w:t>reconciled.</w:t>
      </w:r>
    </w:p>
    <w:p w14:paraId="5BECF418" w14:textId="77777777" w:rsidR="001E7D5E" w:rsidRPr="00C3276B" w:rsidRDefault="001E7D5E" w:rsidP="00F84058">
      <w:pPr>
        <w:ind w:right="14"/>
        <w:jc w:val="both"/>
        <w:rPr>
          <w:rFonts w:ascii="Arial" w:hAnsi="Arial" w:cs="Arial"/>
          <w:szCs w:val="24"/>
        </w:rPr>
      </w:pPr>
    </w:p>
    <w:p w14:paraId="2C5D1942" w14:textId="77777777" w:rsidR="00F84058" w:rsidRPr="00C3276B" w:rsidRDefault="00F84058" w:rsidP="00F84058">
      <w:pPr>
        <w:ind w:right="14"/>
        <w:jc w:val="both"/>
        <w:rPr>
          <w:rFonts w:ascii="Arial" w:hAnsi="Arial" w:cs="Arial"/>
          <w:sz w:val="22"/>
        </w:rPr>
      </w:pPr>
      <w:r w:rsidRPr="00C3276B">
        <w:rPr>
          <w:rFonts w:ascii="Arial" w:hAnsi="Arial" w:cs="Arial"/>
          <w:szCs w:val="24"/>
        </w:rPr>
        <w:t>Verbal/Additional orders for changes to the plan of care are forwarded to the physician for signatur</w:t>
      </w:r>
      <w:r w:rsidRPr="00C3276B">
        <w:rPr>
          <w:rFonts w:ascii="Arial" w:hAnsi="Arial" w:cs="Arial"/>
          <w:sz w:val="22"/>
        </w:rPr>
        <w:t>e.</w:t>
      </w:r>
    </w:p>
    <w:p w14:paraId="0A9EB8F8" w14:textId="77777777" w:rsidR="008F05A2" w:rsidRPr="00C3276B" w:rsidRDefault="008F05A2"/>
    <w:sectPr w:rsidR="008F05A2" w:rsidRPr="00C3276B" w:rsidSect="00C3276B">
      <w:footerReference w:type="default" r:id="rId7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471C6" w14:textId="77777777" w:rsidR="00AA02BF" w:rsidRDefault="00AA02BF" w:rsidP="00C3276B">
      <w:r>
        <w:separator/>
      </w:r>
    </w:p>
  </w:endnote>
  <w:endnote w:type="continuationSeparator" w:id="0">
    <w:p w14:paraId="7565ED14" w14:textId="77777777" w:rsidR="00AA02BF" w:rsidRDefault="00AA02BF" w:rsidP="00C3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EACA9" w14:textId="016EECDF" w:rsidR="004F1E2C" w:rsidRPr="005E4724" w:rsidRDefault="005E4724">
    <w:pPr>
      <w:pStyle w:val="Footer"/>
      <w:rPr>
        <w:rFonts w:ascii="Arial" w:hAnsi="Arial" w:cs="Arial"/>
        <w:sz w:val="16"/>
        <w:szCs w:val="16"/>
      </w:rPr>
    </w:pPr>
    <w:r>
      <w:rPr>
        <w:sz w:val="16"/>
        <w:szCs w:val="16"/>
      </w:rPr>
      <w:t>G:\Policies and Procedures \Administrative Policy and Procedure Manual\Provision of Care, Treatment,  &amp; Service\Resumption of Care and Recertification.doc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ABA38" w14:textId="77777777" w:rsidR="00AA02BF" w:rsidRDefault="00AA02BF" w:rsidP="00C3276B">
      <w:r>
        <w:separator/>
      </w:r>
    </w:p>
  </w:footnote>
  <w:footnote w:type="continuationSeparator" w:id="0">
    <w:p w14:paraId="3C658BBA" w14:textId="77777777" w:rsidR="00AA02BF" w:rsidRDefault="00AA02BF" w:rsidP="00C32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B1445"/>
    <w:multiLevelType w:val="hybridMultilevel"/>
    <w:tmpl w:val="9A148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058"/>
    <w:rsid w:val="000B22FA"/>
    <w:rsid w:val="00125F25"/>
    <w:rsid w:val="00134FEB"/>
    <w:rsid w:val="001E7D5E"/>
    <w:rsid w:val="001F39CF"/>
    <w:rsid w:val="002272A1"/>
    <w:rsid w:val="002460DD"/>
    <w:rsid w:val="00293749"/>
    <w:rsid w:val="002A47F4"/>
    <w:rsid w:val="002C4709"/>
    <w:rsid w:val="002E0DF1"/>
    <w:rsid w:val="00361E5C"/>
    <w:rsid w:val="00365D14"/>
    <w:rsid w:val="004A0102"/>
    <w:rsid w:val="004A7A3D"/>
    <w:rsid w:val="004F1E2C"/>
    <w:rsid w:val="005756B4"/>
    <w:rsid w:val="00590373"/>
    <w:rsid w:val="005E4724"/>
    <w:rsid w:val="00650AA0"/>
    <w:rsid w:val="00701E1A"/>
    <w:rsid w:val="007503B9"/>
    <w:rsid w:val="007D48E4"/>
    <w:rsid w:val="007E4F4B"/>
    <w:rsid w:val="00856BFF"/>
    <w:rsid w:val="008B17A6"/>
    <w:rsid w:val="008F05A2"/>
    <w:rsid w:val="008F0B82"/>
    <w:rsid w:val="00945B2B"/>
    <w:rsid w:val="009C3800"/>
    <w:rsid w:val="00A10487"/>
    <w:rsid w:val="00AA02BF"/>
    <w:rsid w:val="00AC38F0"/>
    <w:rsid w:val="00B1470C"/>
    <w:rsid w:val="00B342A6"/>
    <w:rsid w:val="00BC2296"/>
    <w:rsid w:val="00C02D53"/>
    <w:rsid w:val="00C3276B"/>
    <w:rsid w:val="00D372AD"/>
    <w:rsid w:val="00E56E85"/>
    <w:rsid w:val="00EE7C0E"/>
    <w:rsid w:val="00F84058"/>
    <w:rsid w:val="00FB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D1FE9"/>
  <w15:docId w15:val="{D499C266-F642-47FD-BF88-FAED9B24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0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84058"/>
    <w:pPr>
      <w:keepNext/>
      <w:ind w:right="-720"/>
      <w:outlineLvl w:val="0"/>
    </w:pPr>
    <w:rPr>
      <w:rFonts w:ascii="Book Antiqua" w:hAnsi="Book Antiqua"/>
      <w:b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F84058"/>
    <w:pPr>
      <w:keepNext/>
      <w:widowControl/>
      <w:snapToGrid/>
      <w:spacing w:before="120" w:after="120"/>
      <w:outlineLvl w:val="2"/>
    </w:pPr>
    <w:rPr>
      <w:rFonts w:ascii="Arial" w:hAnsi="Arial" w:cs="Arial"/>
      <w:b/>
      <w:bCs/>
      <w:noProof/>
      <w:spacing w:val="-1"/>
      <w:sz w:val="32"/>
      <w:szCs w:val="23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84058"/>
    <w:pPr>
      <w:keepNext/>
      <w:ind w:right="-720"/>
      <w:outlineLvl w:val="3"/>
    </w:pPr>
    <w:rPr>
      <w:rFonts w:ascii="Verdana" w:hAnsi="Verdan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4058"/>
    <w:rPr>
      <w:rFonts w:ascii="Book Antiqua" w:eastAsia="Times New Roman" w:hAnsi="Book Antiqua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F84058"/>
    <w:rPr>
      <w:rFonts w:ascii="Arial" w:eastAsia="Times New Roman" w:hAnsi="Arial" w:cs="Arial"/>
      <w:b/>
      <w:bCs/>
      <w:noProof/>
      <w:spacing w:val="-1"/>
      <w:sz w:val="32"/>
      <w:szCs w:val="23"/>
    </w:rPr>
  </w:style>
  <w:style w:type="character" w:customStyle="1" w:styleId="Heading4Char">
    <w:name w:val="Heading 4 Char"/>
    <w:basedOn w:val="DefaultParagraphFont"/>
    <w:link w:val="Heading4"/>
    <w:semiHidden/>
    <w:rsid w:val="00F84058"/>
    <w:rPr>
      <w:rFonts w:ascii="Verdana" w:eastAsia="Times New Roman" w:hAnsi="Verdana" w:cs="Times New Roman"/>
      <w:b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27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76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32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76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C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E7C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8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kturner</dc:creator>
  <cp:lastModifiedBy>Connie Williams</cp:lastModifiedBy>
  <cp:revision>2</cp:revision>
  <cp:lastPrinted>2019-06-02T23:00:00Z</cp:lastPrinted>
  <dcterms:created xsi:type="dcterms:W3CDTF">2019-06-02T23:00:00Z</dcterms:created>
  <dcterms:modified xsi:type="dcterms:W3CDTF">2019-06-02T23:00:00Z</dcterms:modified>
</cp:coreProperties>
</file>