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94"/>
        <w:gridCol w:w="2689"/>
        <w:gridCol w:w="4233"/>
      </w:tblGrid>
      <w:tr w:rsidR="00475813" w:rsidRPr="00475813" w14:paraId="1C61C85F" w14:textId="77777777" w:rsidTr="00475813">
        <w:trPr>
          <w:cantSplit/>
          <w:trHeight w:val="383"/>
        </w:trPr>
        <w:tc>
          <w:tcPr>
            <w:tcW w:w="4094" w:type="dxa"/>
            <w:vMerge w:val="restart"/>
            <w:tcBorders>
              <w:top w:val="single" w:sz="4" w:space="0" w:color="auto"/>
              <w:left w:val="single" w:sz="4" w:space="0" w:color="auto"/>
              <w:right w:val="single" w:sz="4" w:space="0" w:color="auto"/>
            </w:tcBorders>
          </w:tcPr>
          <w:p w14:paraId="6CE9C396" w14:textId="77777777" w:rsidR="00475813" w:rsidRPr="00475813" w:rsidRDefault="00475813" w:rsidP="00475813">
            <w:pPr>
              <w:pStyle w:val="Heading3"/>
              <w:rPr>
                <w:snapToGrid w:val="0"/>
                <w:sz w:val="36"/>
                <w:szCs w:val="24"/>
              </w:rPr>
            </w:pPr>
            <w:r w:rsidRPr="00475813">
              <w:rPr>
                <w:snapToGrid w:val="0"/>
                <w:sz w:val="36"/>
                <w:szCs w:val="24"/>
              </w:rPr>
              <w:t>Patient/Client Collections</w:t>
            </w:r>
          </w:p>
        </w:tc>
        <w:tc>
          <w:tcPr>
            <w:tcW w:w="2689" w:type="dxa"/>
            <w:tcBorders>
              <w:top w:val="single" w:sz="4" w:space="0" w:color="auto"/>
              <w:left w:val="single" w:sz="4" w:space="0" w:color="auto"/>
              <w:bottom w:val="single" w:sz="4" w:space="0" w:color="auto"/>
              <w:right w:val="nil"/>
            </w:tcBorders>
          </w:tcPr>
          <w:p w14:paraId="5F013DE9" w14:textId="77777777" w:rsidR="00475813" w:rsidRPr="00475813" w:rsidRDefault="00475813" w:rsidP="00CD649F">
            <w:pPr>
              <w:spacing w:before="40"/>
              <w:rPr>
                <w:rFonts w:ascii="Arial" w:hAnsi="Arial" w:cs="Arial"/>
                <w:b/>
                <w:bCs/>
              </w:rPr>
            </w:pPr>
            <w:r w:rsidRPr="00475813">
              <w:rPr>
                <w:rFonts w:ascii="Arial" w:hAnsi="Arial" w:cs="Arial"/>
                <w:b/>
                <w:bCs/>
              </w:rPr>
              <w:t>Last Revision:</w:t>
            </w:r>
          </w:p>
        </w:tc>
        <w:tc>
          <w:tcPr>
            <w:tcW w:w="4233" w:type="dxa"/>
            <w:tcBorders>
              <w:top w:val="single" w:sz="4" w:space="0" w:color="auto"/>
              <w:left w:val="nil"/>
              <w:bottom w:val="single" w:sz="4" w:space="0" w:color="auto"/>
              <w:right w:val="single" w:sz="4" w:space="0" w:color="auto"/>
            </w:tcBorders>
          </w:tcPr>
          <w:p w14:paraId="4DB10D8D" w14:textId="77777777" w:rsidR="00475813" w:rsidRPr="00475813" w:rsidRDefault="00475813" w:rsidP="00CD649F">
            <w:pPr>
              <w:spacing w:before="40"/>
              <w:rPr>
                <w:rFonts w:ascii="Arial" w:hAnsi="Arial" w:cs="Arial"/>
              </w:rPr>
            </w:pPr>
            <w:r>
              <w:rPr>
                <w:rFonts w:ascii="Arial" w:hAnsi="Arial" w:cs="Arial"/>
              </w:rPr>
              <w:t>September 2015</w:t>
            </w:r>
          </w:p>
        </w:tc>
      </w:tr>
      <w:tr w:rsidR="00475813" w:rsidRPr="00475813" w14:paraId="29CEBCC3" w14:textId="77777777" w:rsidTr="00475813">
        <w:trPr>
          <w:cantSplit/>
          <w:trHeight w:val="383"/>
        </w:trPr>
        <w:tc>
          <w:tcPr>
            <w:tcW w:w="4094" w:type="dxa"/>
            <w:vMerge/>
            <w:tcBorders>
              <w:left w:val="single" w:sz="4" w:space="0" w:color="auto"/>
              <w:right w:val="single" w:sz="4" w:space="0" w:color="auto"/>
            </w:tcBorders>
          </w:tcPr>
          <w:p w14:paraId="6E50986F" w14:textId="77777777" w:rsidR="00475813" w:rsidRPr="00475813" w:rsidRDefault="00475813" w:rsidP="00CD649F">
            <w:pPr>
              <w:pStyle w:val="Heading3"/>
              <w:rPr>
                <w:snapToGrid w:val="0"/>
                <w:sz w:val="24"/>
                <w:szCs w:val="24"/>
              </w:rPr>
            </w:pPr>
          </w:p>
        </w:tc>
        <w:tc>
          <w:tcPr>
            <w:tcW w:w="2689" w:type="dxa"/>
            <w:tcBorders>
              <w:top w:val="single" w:sz="4" w:space="0" w:color="auto"/>
              <w:left w:val="single" w:sz="4" w:space="0" w:color="auto"/>
              <w:bottom w:val="single" w:sz="4" w:space="0" w:color="auto"/>
              <w:right w:val="nil"/>
            </w:tcBorders>
          </w:tcPr>
          <w:p w14:paraId="24F4D5CF" w14:textId="77777777" w:rsidR="00475813" w:rsidRPr="00475813" w:rsidRDefault="00475813" w:rsidP="00CD649F">
            <w:pPr>
              <w:spacing w:before="40"/>
              <w:rPr>
                <w:rFonts w:ascii="Arial" w:hAnsi="Arial" w:cs="Arial"/>
                <w:b/>
                <w:bCs/>
              </w:rPr>
            </w:pPr>
            <w:r w:rsidRPr="00475813">
              <w:rPr>
                <w:rFonts w:ascii="Arial" w:hAnsi="Arial" w:cs="Arial"/>
                <w:b/>
                <w:bCs/>
              </w:rPr>
              <w:t>Last Reviewed:</w:t>
            </w:r>
          </w:p>
        </w:tc>
        <w:tc>
          <w:tcPr>
            <w:tcW w:w="4233" w:type="dxa"/>
            <w:tcBorders>
              <w:top w:val="single" w:sz="4" w:space="0" w:color="auto"/>
              <w:left w:val="nil"/>
              <w:bottom w:val="single" w:sz="4" w:space="0" w:color="auto"/>
              <w:right w:val="single" w:sz="4" w:space="0" w:color="auto"/>
            </w:tcBorders>
          </w:tcPr>
          <w:p w14:paraId="5FBB26DC" w14:textId="4D7A6896" w:rsidR="00475813" w:rsidRPr="00475813" w:rsidRDefault="0020253C" w:rsidP="00CD649F">
            <w:pPr>
              <w:spacing w:before="40"/>
              <w:rPr>
                <w:rFonts w:ascii="Arial" w:hAnsi="Arial" w:cs="Arial"/>
              </w:rPr>
            </w:pPr>
            <w:r>
              <w:rPr>
                <w:rFonts w:ascii="Arial" w:hAnsi="Arial" w:cs="Arial"/>
              </w:rPr>
              <w:t xml:space="preserve">July </w:t>
            </w:r>
            <w:r w:rsidR="002723F1">
              <w:rPr>
                <w:rFonts w:ascii="Arial" w:hAnsi="Arial" w:cs="Arial"/>
              </w:rPr>
              <w:t>2018</w:t>
            </w:r>
          </w:p>
        </w:tc>
      </w:tr>
      <w:tr w:rsidR="00475813" w:rsidRPr="00475813" w14:paraId="2285385A" w14:textId="77777777" w:rsidTr="00475813">
        <w:trPr>
          <w:cantSplit/>
          <w:trHeight w:val="584"/>
        </w:trPr>
        <w:tc>
          <w:tcPr>
            <w:tcW w:w="4094" w:type="dxa"/>
            <w:vMerge/>
            <w:tcBorders>
              <w:left w:val="single" w:sz="4" w:space="0" w:color="auto"/>
              <w:right w:val="single" w:sz="4" w:space="0" w:color="auto"/>
            </w:tcBorders>
          </w:tcPr>
          <w:p w14:paraId="7B2C3B76" w14:textId="77777777" w:rsidR="00475813" w:rsidRPr="00475813" w:rsidRDefault="00475813" w:rsidP="00CD649F">
            <w:pPr>
              <w:pStyle w:val="Heading1"/>
              <w:spacing w:before="120" w:line="360" w:lineRule="exact"/>
              <w:ind w:left="259"/>
              <w:rPr>
                <w:szCs w:val="24"/>
              </w:rPr>
            </w:pPr>
          </w:p>
        </w:tc>
        <w:tc>
          <w:tcPr>
            <w:tcW w:w="2689" w:type="dxa"/>
            <w:tcBorders>
              <w:top w:val="single" w:sz="4" w:space="0" w:color="auto"/>
              <w:left w:val="single" w:sz="4" w:space="0" w:color="auto"/>
              <w:bottom w:val="single" w:sz="4" w:space="0" w:color="auto"/>
              <w:right w:val="nil"/>
            </w:tcBorders>
          </w:tcPr>
          <w:p w14:paraId="6AF207AA" w14:textId="77777777" w:rsidR="00475813" w:rsidRPr="00475813" w:rsidRDefault="00475813" w:rsidP="00CD649F">
            <w:pPr>
              <w:spacing w:before="40"/>
              <w:rPr>
                <w:rFonts w:ascii="Arial" w:hAnsi="Arial" w:cs="Arial"/>
                <w:b/>
                <w:bCs/>
              </w:rPr>
            </w:pPr>
            <w:r w:rsidRPr="00475813">
              <w:rPr>
                <w:rFonts w:ascii="Arial" w:hAnsi="Arial" w:cs="Arial"/>
                <w:b/>
                <w:bCs/>
              </w:rPr>
              <w:t xml:space="preserve">Applies to the following THA Group of Companies: </w:t>
            </w:r>
          </w:p>
        </w:tc>
        <w:tc>
          <w:tcPr>
            <w:tcW w:w="4233" w:type="dxa"/>
            <w:tcBorders>
              <w:top w:val="single" w:sz="4" w:space="0" w:color="auto"/>
              <w:left w:val="nil"/>
              <w:bottom w:val="single" w:sz="4" w:space="0" w:color="auto"/>
              <w:right w:val="single" w:sz="4" w:space="0" w:color="auto"/>
            </w:tcBorders>
          </w:tcPr>
          <w:p w14:paraId="621CF0E1" w14:textId="77777777" w:rsidR="00475813" w:rsidRPr="00475813" w:rsidRDefault="00475813" w:rsidP="002E21B2">
            <w:pPr>
              <w:widowControl w:val="0"/>
              <w:numPr>
                <w:ilvl w:val="0"/>
                <w:numId w:val="5"/>
              </w:numPr>
              <w:rPr>
                <w:rFonts w:ascii="Arial" w:hAnsi="Arial" w:cs="Arial"/>
              </w:rPr>
            </w:pPr>
            <w:r w:rsidRPr="00475813">
              <w:rPr>
                <w:rFonts w:ascii="Arial" w:hAnsi="Arial" w:cs="Arial"/>
              </w:rPr>
              <w:t>Island Health Care</w:t>
            </w:r>
          </w:p>
          <w:p w14:paraId="0B51C5C7" w14:textId="77777777" w:rsidR="00475813" w:rsidRPr="00475813" w:rsidRDefault="00475813" w:rsidP="002E21B2">
            <w:pPr>
              <w:widowControl w:val="0"/>
              <w:numPr>
                <w:ilvl w:val="0"/>
                <w:numId w:val="5"/>
              </w:numPr>
              <w:rPr>
                <w:rFonts w:ascii="Arial" w:hAnsi="Arial" w:cs="Arial"/>
              </w:rPr>
            </w:pPr>
            <w:r w:rsidRPr="00475813">
              <w:rPr>
                <w:rFonts w:ascii="Arial" w:hAnsi="Arial" w:cs="Arial"/>
              </w:rPr>
              <w:t>Island Hospice</w:t>
            </w:r>
          </w:p>
          <w:p w14:paraId="5B1D1532" w14:textId="77777777" w:rsidR="00475813" w:rsidRDefault="00475813" w:rsidP="002E21B2">
            <w:pPr>
              <w:widowControl w:val="0"/>
              <w:numPr>
                <w:ilvl w:val="0"/>
                <w:numId w:val="5"/>
              </w:numPr>
              <w:rPr>
                <w:rFonts w:ascii="Arial" w:hAnsi="Arial" w:cs="Arial"/>
              </w:rPr>
            </w:pPr>
            <w:r w:rsidRPr="00475813">
              <w:rPr>
                <w:rFonts w:ascii="Arial" w:hAnsi="Arial" w:cs="Arial"/>
              </w:rPr>
              <w:t>Independent Life at Home</w:t>
            </w:r>
          </w:p>
          <w:p w14:paraId="05C2F7F5" w14:textId="77777777" w:rsidR="005870ED" w:rsidRDefault="005870ED" w:rsidP="002E21B2">
            <w:pPr>
              <w:widowControl w:val="0"/>
              <w:numPr>
                <w:ilvl w:val="0"/>
                <w:numId w:val="5"/>
              </w:numPr>
              <w:rPr>
                <w:rFonts w:ascii="Arial" w:hAnsi="Arial" w:cs="Arial"/>
              </w:rPr>
            </w:pPr>
            <w:r>
              <w:rPr>
                <w:rFonts w:ascii="Arial" w:hAnsi="Arial" w:cs="Arial"/>
              </w:rPr>
              <w:t>RightHealth Clinic</w:t>
            </w:r>
          </w:p>
          <w:p w14:paraId="23AF2ED9" w14:textId="77777777" w:rsidR="005870ED" w:rsidRPr="00475813" w:rsidRDefault="005870ED" w:rsidP="002E21B2">
            <w:pPr>
              <w:widowControl w:val="0"/>
              <w:numPr>
                <w:ilvl w:val="0"/>
                <w:numId w:val="5"/>
              </w:numPr>
              <w:rPr>
                <w:rFonts w:ascii="Arial" w:hAnsi="Arial" w:cs="Arial"/>
              </w:rPr>
            </w:pPr>
            <w:r>
              <w:rPr>
                <w:rFonts w:ascii="Arial" w:hAnsi="Arial" w:cs="Arial"/>
              </w:rPr>
              <w:t>Palliation Choices</w:t>
            </w:r>
            <w:bookmarkStart w:id="0" w:name="_GoBack"/>
            <w:bookmarkEnd w:id="0"/>
          </w:p>
          <w:p w14:paraId="12A50131" w14:textId="77777777" w:rsidR="00475813" w:rsidRPr="00475813" w:rsidRDefault="00475813" w:rsidP="002E21B2">
            <w:pPr>
              <w:widowControl w:val="0"/>
              <w:numPr>
                <w:ilvl w:val="0"/>
                <w:numId w:val="5"/>
              </w:numPr>
              <w:rPr>
                <w:rFonts w:ascii="Arial" w:hAnsi="Arial" w:cs="Arial"/>
              </w:rPr>
            </w:pPr>
            <w:r w:rsidRPr="00475813">
              <w:rPr>
                <w:rFonts w:ascii="Arial" w:hAnsi="Arial" w:cs="Arial"/>
              </w:rPr>
              <w:t>Ideal Aging</w:t>
            </w:r>
          </w:p>
          <w:p w14:paraId="5F2B7DC8" w14:textId="77777777" w:rsidR="00475813" w:rsidRPr="00475813" w:rsidRDefault="00475813" w:rsidP="00475813">
            <w:pPr>
              <w:widowControl w:val="0"/>
              <w:numPr>
                <w:ilvl w:val="0"/>
                <w:numId w:val="5"/>
              </w:numPr>
              <w:rPr>
                <w:rFonts w:ascii="Arial" w:hAnsi="Arial" w:cs="Arial"/>
              </w:rPr>
            </w:pPr>
            <w:r w:rsidRPr="00475813">
              <w:rPr>
                <w:rFonts w:ascii="Arial" w:hAnsi="Arial" w:cs="Arial"/>
              </w:rPr>
              <w:t>RightHealth</w:t>
            </w:r>
            <w:r w:rsidRPr="00475813">
              <w:rPr>
                <w:rFonts w:ascii="Arial" w:hAnsi="Arial" w:cs="Arial"/>
                <w:vertAlign w:val="superscript"/>
              </w:rPr>
              <w:t>®</w:t>
            </w:r>
          </w:p>
        </w:tc>
      </w:tr>
      <w:tr w:rsidR="00475813" w:rsidRPr="00475813" w14:paraId="6736BD66" w14:textId="77777777" w:rsidTr="00475813">
        <w:trPr>
          <w:cantSplit/>
          <w:trHeight w:val="584"/>
        </w:trPr>
        <w:tc>
          <w:tcPr>
            <w:tcW w:w="4094" w:type="dxa"/>
            <w:vMerge/>
            <w:tcBorders>
              <w:left w:val="single" w:sz="4" w:space="0" w:color="auto"/>
              <w:bottom w:val="single" w:sz="4" w:space="0" w:color="auto"/>
              <w:right w:val="single" w:sz="4" w:space="0" w:color="auto"/>
            </w:tcBorders>
          </w:tcPr>
          <w:p w14:paraId="6BCF8E3D" w14:textId="77777777" w:rsidR="00475813" w:rsidRPr="00475813" w:rsidRDefault="00475813" w:rsidP="00475813">
            <w:pPr>
              <w:pStyle w:val="Heading1"/>
              <w:spacing w:before="0" w:beforeAutospacing="0" w:after="0" w:afterAutospacing="0"/>
              <w:ind w:left="259"/>
              <w:rPr>
                <w:szCs w:val="24"/>
              </w:rPr>
            </w:pPr>
          </w:p>
        </w:tc>
        <w:tc>
          <w:tcPr>
            <w:tcW w:w="2689" w:type="dxa"/>
            <w:tcBorders>
              <w:top w:val="single" w:sz="4" w:space="0" w:color="auto"/>
              <w:left w:val="single" w:sz="4" w:space="0" w:color="auto"/>
              <w:bottom w:val="single" w:sz="4" w:space="0" w:color="auto"/>
              <w:right w:val="nil"/>
            </w:tcBorders>
          </w:tcPr>
          <w:p w14:paraId="1490A72F" w14:textId="77777777" w:rsidR="00475813" w:rsidRPr="00475813" w:rsidRDefault="00475813" w:rsidP="00475813">
            <w:pPr>
              <w:rPr>
                <w:rFonts w:ascii="Arial" w:hAnsi="Arial" w:cs="Arial"/>
                <w:b/>
                <w:bCs/>
              </w:rPr>
            </w:pPr>
            <w:r w:rsidRPr="00475813">
              <w:rPr>
                <w:rFonts w:ascii="Arial" w:hAnsi="Arial" w:cs="Arial"/>
                <w:b/>
                <w:bCs/>
              </w:rPr>
              <w:t>Located in the following THA Manual</w:t>
            </w:r>
          </w:p>
        </w:tc>
        <w:tc>
          <w:tcPr>
            <w:tcW w:w="4233" w:type="dxa"/>
            <w:tcBorders>
              <w:top w:val="single" w:sz="4" w:space="0" w:color="auto"/>
              <w:left w:val="nil"/>
              <w:bottom w:val="single" w:sz="4" w:space="0" w:color="auto"/>
              <w:right w:val="single" w:sz="4" w:space="0" w:color="auto"/>
            </w:tcBorders>
          </w:tcPr>
          <w:p w14:paraId="0C6A74A5" w14:textId="77777777" w:rsidR="00475813" w:rsidRPr="00475813" w:rsidRDefault="00475813" w:rsidP="00475813">
            <w:pPr>
              <w:widowControl w:val="0"/>
              <w:rPr>
                <w:rFonts w:ascii="Arial" w:hAnsi="Arial" w:cs="Arial"/>
              </w:rPr>
            </w:pPr>
            <w:r w:rsidRPr="00475813">
              <w:rPr>
                <w:rFonts w:ascii="Arial" w:hAnsi="Arial" w:cs="Arial"/>
              </w:rPr>
              <w:t>Administrative Policies and Procedures</w:t>
            </w:r>
          </w:p>
          <w:p w14:paraId="6B0984C1" w14:textId="77777777" w:rsidR="00475813" w:rsidRPr="00475813" w:rsidRDefault="00475813" w:rsidP="00475813">
            <w:pPr>
              <w:widowControl w:val="0"/>
              <w:ind w:left="417"/>
              <w:rPr>
                <w:rFonts w:ascii="Arial" w:hAnsi="Arial" w:cs="Arial"/>
              </w:rPr>
            </w:pPr>
            <w:r w:rsidRPr="00475813">
              <w:rPr>
                <w:rFonts w:ascii="Arial" w:hAnsi="Arial" w:cs="Arial"/>
              </w:rPr>
              <w:t>Finance</w:t>
            </w:r>
          </w:p>
        </w:tc>
      </w:tr>
    </w:tbl>
    <w:p w14:paraId="3A0CD170" w14:textId="77777777" w:rsidR="00CD649F" w:rsidRPr="00475813" w:rsidRDefault="00CD649F" w:rsidP="00475813">
      <w:pPr>
        <w:pStyle w:val="Heading2"/>
        <w:spacing w:before="0" w:beforeAutospacing="0" w:after="0" w:afterAutospacing="0"/>
      </w:pPr>
    </w:p>
    <w:p w14:paraId="18CB984C" w14:textId="77777777" w:rsidR="00CD649F" w:rsidRPr="00475813" w:rsidRDefault="00CD649F" w:rsidP="00475813">
      <w:pPr>
        <w:pStyle w:val="Heading4"/>
        <w:rPr>
          <w:rFonts w:ascii="Arial" w:hAnsi="Arial" w:cs="Arial"/>
          <w:b/>
          <w:bCs/>
        </w:rPr>
      </w:pPr>
      <w:r w:rsidRPr="00475813">
        <w:rPr>
          <w:rFonts w:ascii="Arial" w:hAnsi="Arial" w:cs="Arial"/>
          <w:b/>
          <w:bCs/>
        </w:rPr>
        <w:t>POLICY</w:t>
      </w:r>
    </w:p>
    <w:p w14:paraId="559E5095" w14:textId="77777777" w:rsidR="00CD649F" w:rsidRPr="00475813" w:rsidRDefault="00CD649F" w:rsidP="00475813">
      <w:pPr>
        <w:rPr>
          <w:rFonts w:ascii="Arial" w:hAnsi="Arial" w:cs="Arial"/>
        </w:rPr>
      </w:pPr>
    </w:p>
    <w:p w14:paraId="35864E14" w14:textId="77777777" w:rsidR="00CD649F" w:rsidRPr="00475813" w:rsidRDefault="00CD649F" w:rsidP="00475813">
      <w:pPr>
        <w:rPr>
          <w:rFonts w:ascii="Arial" w:hAnsi="Arial" w:cs="Arial"/>
        </w:rPr>
      </w:pPr>
      <w:r w:rsidRPr="00475813">
        <w:rPr>
          <w:rFonts w:ascii="Arial" w:hAnsi="Arial" w:cs="Arial"/>
        </w:rPr>
        <w:t xml:space="preserve">It is the organization’s policy to collect all balances due from patients </w:t>
      </w:r>
      <w:r w:rsidR="002E21B2" w:rsidRPr="00475813">
        <w:rPr>
          <w:rFonts w:ascii="Arial" w:hAnsi="Arial" w:cs="Arial"/>
        </w:rPr>
        <w:t xml:space="preserve">covered by private insurance carriers </w:t>
      </w:r>
      <w:r w:rsidRPr="00475813">
        <w:rPr>
          <w:rFonts w:ascii="Arial" w:hAnsi="Arial" w:cs="Arial"/>
        </w:rPr>
        <w:t>fairly and equitably and in a manner consistent with applicable laws and rules.</w:t>
      </w:r>
    </w:p>
    <w:p w14:paraId="7C6E28F5" w14:textId="77777777" w:rsidR="00CD649F" w:rsidRPr="00475813" w:rsidRDefault="00CD649F" w:rsidP="00475813">
      <w:pPr>
        <w:rPr>
          <w:rFonts w:ascii="Arial" w:hAnsi="Arial" w:cs="Arial"/>
          <w:b/>
          <w:bCs/>
          <w:u w:val="single"/>
        </w:rPr>
      </w:pPr>
      <w:r w:rsidRPr="00475813">
        <w:rPr>
          <w:rFonts w:ascii="Arial" w:hAnsi="Arial" w:cs="Arial"/>
        </w:rPr>
        <w:br/>
      </w:r>
      <w:r w:rsidRPr="00475813">
        <w:rPr>
          <w:rFonts w:ascii="Arial" w:hAnsi="Arial" w:cs="Arial"/>
          <w:b/>
          <w:bCs/>
          <w:u w:val="single"/>
        </w:rPr>
        <w:t>PROCEDURE</w:t>
      </w:r>
    </w:p>
    <w:p w14:paraId="29263B16" w14:textId="77777777" w:rsidR="00CD649F" w:rsidRPr="00475813" w:rsidRDefault="00CD649F" w:rsidP="00475813">
      <w:pPr>
        <w:rPr>
          <w:rFonts w:ascii="Arial" w:hAnsi="Arial" w:cs="Arial"/>
        </w:rPr>
      </w:pPr>
    </w:p>
    <w:p w14:paraId="3AB58D0A" w14:textId="77777777" w:rsidR="00CD649F" w:rsidRPr="00475813" w:rsidRDefault="00CD649F" w:rsidP="00475813">
      <w:pPr>
        <w:numPr>
          <w:ilvl w:val="0"/>
          <w:numId w:val="1"/>
        </w:numPr>
        <w:rPr>
          <w:rFonts w:ascii="Arial" w:hAnsi="Arial" w:cs="Arial"/>
        </w:rPr>
      </w:pPr>
      <w:r w:rsidRPr="00475813">
        <w:rPr>
          <w:rFonts w:ascii="Arial" w:hAnsi="Arial" w:cs="Arial"/>
        </w:rPr>
        <w:t xml:space="preserve">All patients with a balance due will receive a series of reminder letters at the following intervals:  </w:t>
      </w:r>
    </w:p>
    <w:p w14:paraId="61F08E80" w14:textId="77777777" w:rsidR="00CD649F" w:rsidRPr="00475813" w:rsidRDefault="00CD649F" w:rsidP="00475813">
      <w:pPr>
        <w:numPr>
          <w:ilvl w:val="1"/>
          <w:numId w:val="1"/>
        </w:numPr>
        <w:rPr>
          <w:rFonts w:ascii="Arial" w:hAnsi="Arial" w:cs="Arial"/>
        </w:rPr>
      </w:pPr>
      <w:r w:rsidRPr="00475813">
        <w:rPr>
          <w:rFonts w:ascii="Arial" w:hAnsi="Arial" w:cs="Arial"/>
        </w:rPr>
        <w:t>First letter sent at 60 days from the date of service.</w:t>
      </w:r>
    </w:p>
    <w:p w14:paraId="6497A47B" w14:textId="77777777" w:rsidR="00CD649F" w:rsidRPr="00475813" w:rsidRDefault="00CD649F" w:rsidP="00475813">
      <w:pPr>
        <w:numPr>
          <w:ilvl w:val="1"/>
          <w:numId w:val="1"/>
        </w:numPr>
        <w:rPr>
          <w:rFonts w:ascii="Arial" w:hAnsi="Arial" w:cs="Arial"/>
        </w:rPr>
      </w:pPr>
      <w:r w:rsidRPr="00475813">
        <w:rPr>
          <w:rFonts w:ascii="Arial" w:hAnsi="Arial" w:cs="Arial"/>
        </w:rPr>
        <w:t>Second letter sent at 90 days from the date of service.</w:t>
      </w:r>
    </w:p>
    <w:p w14:paraId="288DF6AD" w14:textId="77777777" w:rsidR="00CD649F" w:rsidRPr="00475813" w:rsidRDefault="00CD649F" w:rsidP="00475813">
      <w:pPr>
        <w:numPr>
          <w:ilvl w:val="1"/>
          <w:numId w:val="1"/>
        </w:numPr>
        <w:rPr>
          <w:rFonts w:ascii="Arial" w:hAnsi="Arial" w:cs="Arial"/>
        </w:rPr>
      </w:pPr>
      <w:r w:rsidRPr="00475813">
        <w:rPr>
          <w:rFonts w:ascii="Arial" w:hAnsi="Arial" w:cs="Arial"/>
        </w:rPr>
        <w:t>Third and final letter sent at 120 days from the date of service.</w:t>
      </w:r>
    </w:p>
    <w:p w14:paraId="693D0537" w14:textId="77777777" w:rsidR="00CD649F" w:rsidRPr="00475813" w:rsidRDefault="00CD649F" w:rsidP="00475813">
      <w:pPr>
        <w:ind w:left="1080"/>
        <w:rPr>
          <w:rFonts w:ascii="Arial" w:hAnsi="Arial" w:cs="Arial"/>
        </w:rPr>
      </w:pPr>
    </w:p>
    <w:p w14:paraId="64FDFBED" w14:textId="77777777" w:rsidR="00CD649F" w:rsidRPr="00475813" w:rsidRDefault="00CD649F" w:rsidP="00475813">
      <w:pPr>
        <w:numPr>
          <w:ilvl w:val="0"/>
          <w:numId w:val="1"/>
        </w:numPr>
        <w:rPr>
          <w:rFonts w:ascii="Arial" w:hAnsi="Arial" w:cs="Arial"/>
        </w:rPr>
      </w:pPr>
      <w:r w:rsidRPr="00475813">
        <w:rPr>
          <w:rFonts w:ascii="Arial" w:hAnsi="Arial" w:cs="Arial"/>
        </w:rPr>
        <w:t>Except for emergencies, patients with accounts more than 60 days overdue must resolve outstanding balances with billing office prior to being seen by a caregiver.</w:t>
      </w:r>
    </w:p>
    <w:p w14:paraId="7EB690FB" w14:textId="77777777" w:rsidR="00CD649F" w:rsidRPr="00475813" w:rsidRDefault="00CD649F" w:rsidP="00475813">
      <w:pPr>
        <w:ind w:left="1080"/>
        <w:rPr>
          <w:rFonts w:ascii="Arial" w:hAnsi="Arial" w:cs="Arial"/>
        </w:rPr>
      </w:pPr>
    </w:p>
    <w:p w14:paraId="3CE4DDE0" w14:textId="77777777" w:rsidR="00CD649F" w:rsidRPr="00475813" w:rsidRDefault="00CD649F" w:rsidP="00475813">
      <w:pPr>
        <w:numPr>
          <w:ilvl w:val="0"/>
          <w:numId w:val="1"/>
        </w:numPr>
        <w:rPr>
          <w:rFonts w:ascii="Arial" w:hAnsi="Arial" w:cs="Arial"/>
        </w:rPr>
      </w:pPr>
      <w:r w:rsidRPr="00475813">
        <w:rPr>
          <w:rFonts w:ascii="Arial" w:hAnsi="Arial" w:cs="Arial"/>
        </w:rPr>
        <w:t>Write offs</w:t>
      </w:r>
    </w:p>
    <w:p w14:paraId="3320BB69" w14:textId="77777777" w:rsidR="00CD649F" w:rsidRPr="00475813" w:rsidRDefault="00CD649F" w:rsidP="00475813">
      <w:pPr>
        <w:numPr>
          <w:ilvl w:val="1"/>
          <w:numId w:val="1"/>
        </w:numPr>
        <w:rPr>
          <w:rFonts w:ascii="Arial" w:hAnsi="Arial" w:cs="Arial"/>
        </w:rPr>
      </w:pPr>
      <w:r w:rsidRPr="00475813">
        <w:rPr>
          <w:rFonts w:ascii="Arial" w:hAnsi="Arial" w:cs="Arial"/>
        </w:rPr>
        <w:t>Patient balances of less than $25.00 will be written off.  This $25.00 level is set recognizing that the costs associated with collecting this amount are likely to be greater than the amount collected.  This de minimus amount also will not constitute any substantial benefit or inducement to the patient.</w:t>
      </w:r>
    </w:p>
    <w:p w14:paraId="09C2673E" w14:textId="77777777" w:rsidR="00CD649F" w:rsidRPr="00475813" w:rsidRDefault="00CD649F" w:rsidP="00475813">
      <w:pPr>
        <w:numPr>
          <w:ilvl w:val="1"/>
          <w:numId w:val="1"/>
        </w:numPr>
        <w:rPr>
          <w:rFonts w:ascii="Arial" w:hAnsi="Arial" w:cs="Arial"/>
        </w:rPr>
      </w:pPr>
      <w:r w:rsidRPr="00475813">
        <w:rPr>
          <w:rFonts w:ascii="Arial" w:hAnsi="Arial" w:cs="Arial"/>
        </w:rPr>
        <w:t>Any balances above $25 may only be written off on the recommendation of the billing manager and the approval of the C</w:t>
      </w:r>
      <w:r w:rsidR="006B7CEC" w:rsidRPr="00475813">
        <w:rPr>
          <w:rFonts w:ascii="Arial" w:hAnsi="Arial" w:cs="Arial"/>
        </w:rPr>
        <w:t>FO</w:t>
      </w:r>
      <w:r w:rsidRPr="00475813">
        <w:rPr>
          <w:rFonts w:ascii="Arial" w:hAnsi="Arial" w:cs="Arial"/>
        </w:rPr>
        <w:t xml:space="preserve"> and President &amp; CEO. In such cases, balances are written off only because of financial hardship to the patient, professional courtesy or other extenuating circumstances.  The basis for writing off a balance must be documented in the billing record.</w:t>
      </w:r>
    </w:p>
    <w:p w14:paraId="01FF5C91" w14:textId="77777777" w:rsidR="00CD649F" w:rsidRPr="00475813" w:rsidRDefault="00CD649F" w:rsidP="00475813">
      <w:pPr>
        <w:ind w:left="1080"/>
        <w:rPr>
          <w:rFonts w:ascii="Arial" w:hAnsi="Arial" w:cs="Arial"/>
        </w:rPr>
      </w:pPr>
    </w:p>
    <w:p w14:paraId="3C8ECC24" w14:textId="77777777" w:rsidR="00CD649F" w:rsidRPr="00475813" w:rsidRDefault="00CD649F" w:rsidP="00475813">
      <w:pPr>
        <w:numPr>
          <w:ilvl w:val="0"/>
          <w:numId w:val="1"/>
        </w:numPr>
        <w:rPr>
          <w:rFonts w:ascii="Arial" w:hAnsi="Arial" w:cs="Arial"/>
        </w:rPr>
      </w:pPr>
      <w:r w:rsidRPr="00475813">
        <w:rPr>
          <w:rFonts w:ascii="Arial" w:hAnsi="Arial" w:cs="Arial"/>
        </w:rPr>
        <w:t>Referral to collection agency</w:t>
      </w:r>
    </w:p>
    <w:p w14:paraId="4D3A5407" w14:textId="77777777" w:rsidR="00CD649F" w:rsidRPr="00475813" w:rsidRDefault="00CD649F" w:rsidP="00475813">
      <w:pPr>
        <w:numPr>
          <w:ilvl w:val="1"/>
          <w:numId w:val="1"/>
        </w:numPr>
        <w:rPr>
          <w:rFonts w:ascii="Arial" w:hAnsi="Arial" w:cs="Arial"/>
        </w:rPr>
      </w:pPr>
      <w:r w:rsidRPr="00475813">
        <w:rPr>
          <w:rFonts w:ascii="Arial" w:hAnsi="Arial" w:cs="Arial"/>
        </w:rPr>
        <w:t>Accounts that have balances remaining due for more than 150 days, and that have received all three collection letters, are eligible to be referred for outside collection.</w:t>
      </w:r>
    </w:p>
    <w:p w14:paraId="51B65DF1" w14:textId="77777777" w:rsidR="00CD649F" w:rsidRPr="00475813" w:rsidRDefault="00CD649F" w:rsidP="00475813">
      <w:pPr>
        <w:numPr>
          <w:ilvl w:val="1"/>
          <w:numId w:val="1"/>
        </w:numPr>
        <w:rPr>
          <w:rFonts w:ascii="Arial" w:hAnsi="Arial" w:cs="Arial"/>
        </w:rPr>
      </w:pPr>
      <w:r w:rsidRPr="00475813">
        <w:rPr>
          <w:rFonts w:ascii="Arial" w:hAnsi="Arial" w:cs="Arial"/>
        </w:rPr>
        <w:t>The billing manager who will recommend appropriate accounts for collection should review all such accounts.  This will include, at a minimum, verifying that the appropriate insurance was billed and that the appropriate collection letters were sent to the patient.</w:t>
      </w:r>
    </w:p>
    <w:p w14:paraId="5C3ED8BD" w14:textId="77777777" w:rsidR="00531486" w:rsidRPr="00475813" w:rsidRDefault="00CD649F" w:rsidP="00475813">
      <w:pPr>
        <w:numPr>
          <w:ilvl w:val="1"/>
          <w:numId w:val="1"/>
        </w:numPr>
        <w:rPr>
          <w:rFonts w:ascii="Arial" w:hAnsi="Arial" w:cs="Arial"/>
        </w:rPr>
      </w:pPr>
      <w:r w:rsidRPr="00475813">
        <w:rPr>
          <w:rFonts w:ascii="Arial" w:hAnsi="Arial" w:cs="Arial"/>
        </w:rPr>
        <w:t xml:space="preserve">Accounts must be reviewed and approved for collection by the organization’s </w:t>
      </w:r>
      <w:r w:rsidR="006B7CEC" w:rsidRPr="00475813">
        <w:rPr>
          <w:rFonts w:ascii="Arial" w:hAnsi="Arial" w:cs="Arial"/>
        </w:rPr>
        <w:t>CFO</w:t>
      </w:r>
      <w:r w:rsidR="00475813">
        <w:rPr>
          <w:rFonts w:ascii="Arial" w:hAnsi="Arial" w:cs="Arial"/>
        </w:rPr>
        <w:t xml:space="preserve"> </w:t>
      </w:r>
      <w:r w:rsidRPr="00475813">
        <w:rPr>
          <w:rFonts w:ascii="Arial" w:hAnsi="Arial" w:cs="Arial"/>
        </w:rPr>
        <w:t xml:space="preserve">and </w:t>
      </w:r>
      <w:r w:rsidR="006B7CEC" w:rsidRPr="00475813">
        <w:rPr>
          <w:rFonts w:ascii="Arial" w:hAnsi="Arial" w:cs="Arial"/>
        </w:rPr>
        <w:t xml:space="preserve">President &amp; </w:t>
      </w:r>
      <w:r w:rsidRPr="00475813">
        <w:rPr>
          <w:rFonts w:ascii="Arial" w:hAnsi="Arial" w:cs="Arial"/>
        </w:rPr>
        <w:t>CEO prior to being submitted to collection.</w:t>
      </w:r>
    </w:p>
    <w:p w14:paraId="720DC3F7" w14:textId="77777777" w:rsidR="002E75BF" w:rsidRPr="00475813" w:rsidRDefault="002E75BF" w:rsidP="00475813">
      <w:pPr>
        <w:ind w:left="1440"/>
        <w:rPr>
          <w:rFonts w:ascii="Arial" w:hAnsi="Arial" w:cs="Arial"/>
        </w:rPr>
      </w:pPr>
    </w:p>
    <w:p w14:paraId="1523DDDC" w14:textId="77777777" w:rsidR="00475813" w:rsidRDefault="00475813">
      <w:pPr>
        <w:rPr>
          <w:rFonts w:ascii="Arial" w:hAnsi="Arial" w:cs="Arial"/>
        </w:rPr>
      </w:pPr>
      <w:r>
        <w:rPr>
          <w:rFonts w:ascii="Arial" w:hAnsi="Arial" w:cs="Arial"/>
        </w:rPr>
        <w:br w:type="page"/>
      </w:r>
    </w:p>
    <w:p w14:paraId="1C02EF9B" w14:textId="77777777" w:rsidR="00531486" w:rsidRPr="00475813" w:rsidRDefault="00531486" w:rsidP="00475813">
      <w:pPr>
        <w:pStyle w:val="ListParagraph"/>
        <w:numPr>
          <w:ilvl w:val="0"/>
          <w:numId w:val="1"/>
        </w:numPr>
        <w:rPr>
          <w:rFonts w:ascii="Arial" w:hAnsi="Arial" w:cs="Arial"/>
        </w:rPr>
      </w:pPr>
      <w:r w:rsidRPr="00475813">
        <w:rPr>
          <w:rFonts w:ascii="Arial" w:hAnsi="Arial" w:cs="Arial"/>
        </w:rPr>
        <w:lastRenderedPageBreak/>
        <w:t>If a review of a patient’s financial situation shows that the only practical solution is a monthly payment arrangement, the Finance department should obtain the patient’s agreement to a realistic monthly payment schedule. In any event, the Finance department should strive to have the account paid in full in the shortest time period.</w:t>
      </w:r>
    </w:p>
    <w:p w14:paraId="37AEC701" w14:textId="77777777" w:rsidR="002E75BF" w:rsidRPr="00475813" w:rsidRDefault="002E75BF" w:rsidP="00475813">
      <w:pPr>
        <w:pStyle w:val="Heading4"/>
        <w:widowControl w:val="0"/>
        <w:ind w:left="720" w:firstLine="360"/>
        <w:rPr>
          <w:rFonts w:ascii="Arial" w:hAnsi="Arial" w:cs="Arial"/>
        </w:rPr>
      </w:pPr>
    </w:p>
    <w:p w14:paraId="471545F5" w14:textId="77777777" w:rsidR="002E75BF" w:rsidRPr="00475813" w:rsidRDefault="00531486" w:rsidP="00475813">
      <w:pPr>
        <w:pStyle w:val="Heading4"/>
        <w:widowControl w:val="0"/>
        <w:ind w:left="720" w:firstLine="360"/>
        <w:rPr>
          <w:rFonts w:ascii="Arial" w:hAnsi="Arial" w:cs="Arial"/>
        </w:rPr>
      </w:pPr>
      <w:r w:rsidRPr="00475813">
        <w:rPr>
          <w:rFonts w:ascii="Arial" w:hAnsi="Arial" w:cs="Arial"/>
        </w:rPr>
        <w:t>Monthly Payment Guidelines</w:t>
      </w:r>
    </w:p>
    <w:p w14:paraId="1629A49E" w14:textId="77777777" w:rsidR="00531486" w:rsidRPr="00475813" w:rsidRDefault="00531486" w:rsidP="00475813">
      <w:pPr>
        <w:rPr>
          <w:rFonts w:ascii="Arial" w:hAnsi="Arial" w:cs="Arial"/>
        </w:rPr>
      </w:pPr>
    </w:p>
    <w:p w14:paraId="569D085B" w14:textId="77777777" w:rsidR="00531486" w:rsidRPr="00475813" w:rsidRDefault="00084306" w:rsidP="00084306">
      <w:pPr>
        <w:tabs>
          <w:tab w:val="left" w:pos="1080"/>
          <w:tab w:val="left" w:pos="3870"/>
        </w:tabs>
        <w:ind w:left="360"/>
        <w:rPr>
          <w:rFonts w:ascii="Arial" w:hAnsi="Arial" w:cs="Arial"/>
          <w:u w:val="single"/>
        </w:rPr>
      </w:pPr>
      <w:r w:rsidRPr="00084306">
        <w:rPr>
          <w:rFonts w:ascii="Arial" w:hAnsi="Arial" w:cs="Arial"/>
        </w:rPr>
        <w:tab/>
      </w:r>
      <w:r w:rsidR="00531486" w:rsidRPr="00475813">
        <w:rPr>
          <w:rFonts w:ascii="Arial" w:hAnsi="Arial" w:cs="Arial"/>
          <w:u w:val="single"/>
        </w:rPr>
        <w:t>Patient Liability</w:t>
      </w:r>
      <w:r w:rsidR="00531486" w:rsidRPr="00475813">
        <w:rPr>
          <w:rFonts w:ascii="Arial" w:hAnsi="Arial" w:cs="Arial"/>
        </w:rPr>
        <w:t xml:space="preserve">                     </w:t>
      </w:r>
      <w:r w:rsidR="00531486" w:rsidRPr="00475813">
        <w:rPr>
          <w:rFonts w:ascii="Arial" w:hAnsi="Arial" w:cs="Arial"/>
        </w:rPr>
        <w:tab/>
      </w:r>
      <w:r w:rsidR="00531486" w:rsidRPr="00475813">
        <w:rPr>
          <w:rFonts w:ascii="Arial" w:hAnsi="Arial" w:cs="Arial"/>
          <w:u w:val="single"/>
        </w:rPr>
        <w:t>Payment Time Frame</w:t>
      </w:r>
    </w:p>
    <w:p w14:paraId="6156656C" w14:textId="77777777" w:rsidR="00531486" w:rsidRPr="00475813" w:rsidRDefault="00531486" w:rsidP="00084306">
      <w:pPr>
        <w:tabs>
          <w:tab w:val="left" w:pos="360"/>
          <w:tab w:val="left" w:pos="1080"/>
          <w:tab w:val="left" w:pos="3060"/>
          <w:tab w:val="left" w:pos="3870"/>
        </w:tabs>
        <w:ind w:left="360"/>
        <w:rPr>
          <w:rFonts w:ascii="Arial" w:hAnsi="Arial" w:cs="Arial"/>
        </w:rPr>
      </w:pPr>
      <w:r w:rsidRPr="00475813">
        <w:rPr>
          <w:rFonts w:ascii="Arial" w:hAnsi="Arial" w:cs="Arial"/>
        </w:rPr>
        <w:tab/>
        <w:t>$ 0 – 150</w:t>
      </w:r>
      <w:r w:rsidRPr="00475813">
        <w:rPr>
          <w:rFonts w:ascii="Arial" w:hAnsi="Arial" w:cs="Arial"/>
        </w:rPr>
        <w:tab/>
      </w:r>
      <w:r w:rsidRPr="00475813">
        <w:rPr>
          <w:rFonts w:ascii="Arial" w:hAnsi="Arial" w:cs="Arial"/>
        </w:rPr>
        <w:tab/>
      </w:r>
      <w:r w:rsidR="006A6236">
        <w:rPr>
          <w:rFonts w:ascii="Arial" w:hAnsi="Arial" w:cs="Arial"/>
        </w:rPr>
        <w:tab/>
      </w:r>
      <w:r w:rsidRPr="00475813">
        <w:rPr>
          <w:rFonts w:ascii="Arial" w:hAnsi="Arial" w:cs="Arial"/>
        </w:rPr>
        <w:t>1 to 3 months</w:t>
      </w:r>
      <w:r w:rsidRPr="00475813">
        <w:rPr>
          <w:rFonts w:ascii="Arial" w:hAnsi="Arial" w:cs="Arial"/>
        </w:rPr>
        <w:tab/>
      </w:r>
    </w:p>
    <w:p w14:paraId="4A7DBC52" w14:textId="77777777" w:rsidR="00531486" w:rsidRPr="00475813" w:rsidRDefault="00531486" w:rsidP="00084306">
      <w:pPr>
        <w:pStyle w:val="Header"/>
        <w:tabs>
          <w:tab w:val="clear" w:pos="4320"/>
          <w:tab w:val="clear" w:pos="8640"/>
          <w:tab w:val="left" w:pos="360"/>
          <w:tab w:val="left" w:pos="1080"/>
          <w:tab w:val="left" w:pos="3060"/>
          <w:tab w:val="left" w:pos="3870"/>
        </w:tabs>
        <w:ind w:left="360"/>
        <w:rPr>
          <w:rFonts w:ascii="Arial" w:hAnsi="Arial" w:cs="Arial"/>
        </w:rPr>
      </w:pPr>
      <w:r w:rsidRPr="00475813">
        <w:rPr>
          <w:rFonts w:ascii="Arial" w:hAnsi="Arial" w:cs="Arial"/>
        </w:rPr>
        <w:tab/>
        <w:t>$ 151 - $999</w:t>
      </w:r>
      <w:r w:rsidRPr="00475813">
        <w:rPr>
          <w:rFonts w:ascii="Arial" w:hAnsi="Arial" w:cs="Arial"/>
        </w:rPr>
        <w:tab/>
      </w:r>
      <w:r w:rsidRPr="00475813">
        <w:rPr>
          <w:rFonts w:ascii="Arial" w:hAnsi="Arial" w:cs="Arial"/>
        </w:rPr>
        <w:tab/>
      </w:r>
      <w:r w:rsidR="006A6236">
        <w:rPr>
          <w:rFonts w:ascii="Arial" w:hAnsi="Arial" w:cs="Arial"/>
        </w:rPr>
        <w:tab/>
      </w:r>
      <w:r w:rsidRPr="00475813">
        <w:rPr>
          <w:rFonts w:ascii="Arial" w:hAnsi="Arial" w:cs="Arial"/>
        </w:rPr>
        <w:t>3 to 6 months</w:t>
      </w:r>
    </w:p>
    <w:p w14:paraId="54AE78B2" w14:textId="77777777" w:rsidR="00531486" w:rsidRPr="00475813" w:rsidRDefault="00531486" w:rsidP="00084306">
      <w:pPr>
        <w:tabs>
          <w:tab w:val="left" w:pos="1080"/>
          <w:tab w:val="left" w:pos="3060"/>
          <w:tab w:val="left" w:pos="3870"/>
        </w:tabs>
        <w:ind w:left="4320" w:hanging="3960"/>
        <w:rPr>
          <w:rFonts w:ascii="Arial" w:hAnsi="Arial" w:cs="Arial"/>
        </w:rPr>
      </w:pPr>
      <w:r w:rsidRPr="00475813">
        <w:rPr>
          <w:rFonts w:ascii="Arial" w:hAnsi="Arial" w:cs="Arial"/>
        </w:rPr>
        <w:tab/>
        <w:t xml:space="preserve">$1,000 and greater </w:t>
      </w:r>
      <w:r w:rsidRPr="00475813">
        <w:rPr>
          <w:rFonts w:ascii="Arial" w:hAnsi="Arial" w:cs="Arial"/>
        </w:rPr>
        <w:tab/>
      </w:r>
      <w:r w:rsidRPr="00475813">
        <w:rPr>
          <w:rFonts w:ascii="Arial" w:hAnsi="Arial" w:cs="Arial"/>
        </w:rPr>
        <w:tab/>
        <w:t>10% of the initial total balance per</w:t>
      </w:r>
      <w:r w:rsidR="00084306">
        <w:rPr>
          <w:rFonts w:ascii="Arial" w:hAnsi="Arial" w:cs="Arial"/>
        </w:rPr>
        <w:t xml:space="preserve"> m</w:t>
      </w:r>
      <w:r w:rsidRPr="00475813">
        <w:rPr>
          <w:rFonts w:ascii="Arial" w:hAnsi="Arial" w:cs="Arial"/>
        </w:rPr>
        <w:t>onth (set rate to be established)</w:t>
      </w:r>
    </w:p>
    <w:p w14:paraId="44591583" w14:textId="77777777" w:rsidR="00531486" w:rsidRPr="00475813" w:rsidRDefault="00531486" w:rsidP="00475813">
      <w:pPr>
        <w:ind w:left="360"/>
        <w:rPr>
          <w:rFonts w:ascii="Arial" w:hAnsi="Arial" w:cs="Arial"/>
        </w:rPr>
      </w:pPr>
    </w:p>
    <w:p w14:paraId="289B1C0E" w14:textId="77777777" w:rsidR="002E75BF" w:rsidRPr="00475813" w:rsidRDefault="00531486" w:rsidP="00475813">
      <w:pPr>
        <w:rPr>
          <w:rFonts w:ascii="Arial" w:hAnsi="Arial" w:cs="Arial"/>
        </w:rPr>
      </w:pPr>
      <w:r w:rsidRPr="00475813">
        <w:rPr>
          <w:rFonts w:ascii="Arial" w:hAnsi="Arial" w:cs="Arial"/>
        </w:rPr>
        <w:t>Any variances from the above schedule will be made only after a thorough evaluation of the patient’s financial situation. This includes completing a Financial Assessment Form</w:t>
      </w:r>
    </w:p>
    <w:p w14:paraId="61901A47" w14:textId="77777777" w:rsidR="009C422B" w:rsidRPr="00475813" w:rsidRDefault="009C422B" w:rsidP="00475813">
      <w:pPr>
        <w:rPr>
          <w:rFonts w:ascii="Arial" w:hAnsi="Arial" w:cs="Arial"/>
          <w:b/>
          <w:u w:val="single"/>
        </w:rPr>
      </w:pPr>
    </w:p>
    <w:p w14:paraId="704D03C9" w14:textId="77777777" w:rsidR="002E75BF" w:rsidRPr="00475813" w:rsidRDefault="002E75BF" w:rsidP="00475813">
      <w:pPr>
        <w:pStyle w:val="Heading6"/>
        <w:rPr>
          <w:sz w:val="24"/>
        </w:rPr>
      </w:pPr>
    </w:p>
    <w:sectPr w:rsidR="002E75BF" w:rsidRPr="00475813" w:rsidSect="00475813">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D6404" w14:textId="77777777" w:rsidR="00084306" w:rsidRDefault="00084306">
      <w:r>
        <w:separator/>
      </w:r>
    </w:p>
  </w:endnote>
  <w:endnote w:type="continuationSeparator" w:id="0">
    <w:p w14:paraId="3911CAFE" w14:textId="77777777" w:rsidR="00084306" w:rsidRDefault="00084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616FF" w14:textId="77777777" w:rsidR="00803F54" w:rsidRDefault="00803F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2FC26" w14:textId="77777777" w:rsidR="00084306" w:rsidRPr="00C81292" w:rsidRDefault="00803F54" w:rsidP="00475813">
    <w:pPr>
      <w:pStyle w:val="Footer"/>
      <w:tabs>
        <w:tab w:val="clear" w:pos="4320"/>
        <w:tab w:val="clear" w:pos="8640"/>
        <w:tab w:val="right" w:pos="10800"/>
      </w:tabs>
      <w:rPr>
        <w:rFonts w:ascii="Arial" w:hAnsi="Arial" w:cs="Arial"/>
        <w:sz w:val="16"/>
        <w:szCs w:val="16"/>
      </w:rPr>
    </w:pPr>
    <w:r>
      <w:t>G:\Policies and Procedures\Administrative Policy and Procedure Manual\Finance\Patient/Client Collections.doc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362D2" w14:textId="77777777" w:rsidR="00803F54" w:rsidRDefault="00803F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728BC" w14:textId="77777777" w:rsidR="00084306" w:rsidRDefault="00084306">
      <w:r>
        <w:separator/>
      </w:r>
    </w:p>
  </w:footnote>
  <w:footnote w:type="continuationSeparator" w:id="0">
    <w:p w14:paraId="349DA02E" w14:textId="77777777" w:rsidR="00084306" w:rsidRDefault="00084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9797A" w14:textId="77777777" w:rsidR="00803F54" w:rsidRDefault="00803F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D91D4" w14:textId="77777777" w:rsidR="00803F54" w:rsidRDefault="00803F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660EC" w14:textId="77777777" w:rsidR="00803F54" w:rsidRDefault="00803F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85AB8A8"/>
    <w:lvl w:ilvl="0">
      <w:numFmt w:val="decimal"/>
      <w:lvlText w:val="*"/>
      <w:lvlJc w:val="left"/>
    </w:lvl>
  </w:abstractNum>
  <w:abstractNum w:abstractNumId="1" w15:restartNumberingAfterBreak="0">
    <w:nsid w:val="00004000"/>
    <w:multiLevelType w:val="hybridMultilevel"/>
    <w:tmpl w:val="E2FC6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AD13BF"/>
    <w:multiLevelType w:val="hybridMultilevel"/>
    <w:tmpl w:val="8BD6358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231E779C"/>
    <w:multiLevelType w:val="hybridMultilevel"/>
    <w:tmpl w:val="D7C05D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B7B1445"/>
    <w:multiLevelType w:val="hybridMultilevel"/>
    <w:tmpl w:val="9A1480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9C527F2"/>
    <w:multiLevelType w:val="hybridMultilevel"/>
    <w:tmpl w:val="7EB8F5E8"/>
    <w:lvl w:ilvl="0" w:tplc="73D8B4A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2493C2D"/>
    <w:multiLevelType w:val="singleLevel"/>
    <w:tmpl w:val="6BE48ACE"/>
    <w:lvl w:ilvl="0">
      <w:start w:val="1"/>
      <w:numFmt w:val="bullet"/>
      <w:lvlText w:val="–"/>
      <w:lvlJc w:val="left"/>
      <w:pPr>
        <w:tabs>
          <w:tab w:val="num" w:pos="360"/>
        </w:tabs>
        <w:ind w:left="360" w:hanging="360"/>
      </w:pPr>
      <w:rPr>
        <w:rFonts w:ascii="Times New Roman" w:hAnsi="Times New Roman" w:hint="default"/>
      </w:rPr>
    </w:lvl>
  </w:abstractNum>
  <w:num w:numId="1">
    <w:abstractNumId w:val="5"/>
  </w:num>
  <w:num w:numId="2">
    <w:abstractNumId w:val="0"/>
    <w:lvlOverride w:ilvl="0">
      <w:lvl w:ilvl="0">
        <w:start w:val="1"/>
        <w:numFmt w:val="bullet"/>
        <w:lvlText w:val=""/>
        <w:legacy w:legacy="1" w:legacySpace="0" w:legacyIndent="360"/>
        <w:lvlJc w:val="left"/>
        <w:pPr>
          <w:ind w:left="2520" w:hanging="360"/>
        </w:pPr>
        <w:rPr>
          <w:rFonts w:ascii="Symbol" w:hAnsi="Symbol" w:cs="Times New Roman" w:hint="default"/>
        </w:rPr>
      </w:lvl>
    </w:lvlOverride>
  </w:num>
  <w:num w:numId="3">
    <w:abstractNumId w:val="3"/>
  </w:num>
  <w:num w:numId="4">
    <w:abstractNumId w:val="1"/>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E21B2"/>
    <w:rsid w:val="00084306"/>
    <w:rsid w:val="000D7A76"/>
    <w:rsid w:val="0020253C"/>
    <w:rsid w:val="002723F1"/>
    <w:rsid w:val="002E21B2"/>
    <w:rsid w:val="002E75BF"/>
    <w:rsid w:val="00447ADF"/>
    <w:rsid w:val="00467DCD"/>
    <w:rsid w:val="00475813"/>
    <w:rsid w:val="00531486"/>
    <w:rsid w:val="00540665"/>
    <w:rsid w:val="00544692"/>
    <w:rsid w:val="00553807"/>
    <w:rsid w:val="005870ED"/>
    <w:rsid w:val="00631408"/>
    <w:rsid w:val="006A179F"/>
    <w:rsid w:val="006A6236"/>
    <w:rsid w:val="006B7CEC"/>
    <w:rsid w:val="006D634E"/>
    <w:rsid w:val="00764A53"/>
    <w:rsid w:val="007D6BB3"/>
    <w:rsid w:val="00803F54"/>
    <w:rsid w:val="008A31F0"/>
    <w:rsid w:val="00934ED0"/>
    <w:rsid w:val="009C422B"/>
    <w:rsid w:val="00B76581"/>
    <w:rsid w:val="00BB1138"/>
    <w:rsid w:val="00C81292"/>
    <w:rsid w:val="00CD3E49"/>
    <w:rsid w:val="00CD649F"/>
    <w:rsid w:val="00D274C3"/>
    <w:rsid w:val="00E00199"/>
    <w:rsid w:val="00F85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A098EE"/>
  <w15:docId w15:val="{A988B131-B18F-4C7F-86F0-54413D6CC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3807"/>
    <w:rPr>
      <w:sz w:val="24"/>
      <w:szCs w:val="24"/>
    </w:rPr>
  </w:style>
  <w:style w:type="paragraph" w:styleId="Heading1">
    <w:name w:val="heading 1"/>
    <w:basedOn w:val="Normal"/>
    <w:next w:val="Normal"/>
    <w:qFormat/>
    <w:rsid w:val="00553807"/>
    <w:pPr>
      <w:keepNext/>
      <w:tabs>
        <w:tab w:val="left" w:pos="-1440"/>
      </w:tabs>
      <w:spacing w:before="100" w:beforeAutospacing="1" w:after="100" w:afterAutospacing="1"/>
      <w:ind w:left="720" w:hanging="720"/>
      <w:jc w:val="both"/>
      <w:outlineLvl w:val="0"/>
    </w:pPr>
    <w:rPr>
      <w:rFonts w:ascii="Arial" w:hAnsi="Arial" w:cs="Arial"/>
      <w:b/>
      <w:bCs/>
      <w:szCs w:val="22"/>
    </w:rPr>
  </w:style>
  <w:style w:type="paragraph" w:styleId="Heading2">
    <w:name w:val="heading 2"/>
    <w:basedOn w:val="Normal"/>
    <w:next w:val="Normal"/>
    <w:qFormat/>
    <w:rsid w:val="00553807"/>
    <w:pPr>
      <w:keepNext/>
      <w:spacing w:before="100" w:beforeAutospacing="1" w:after="100" w:afterAutospacing="1"/>
      <w:jc w:val="both"/>
      <w:outlineLvl w:val="1"/>
    </w:pPr>
    <w:rPr>
      <w:rFonts w:ascii="Arial" w:hAnsi="Arial" w:cs="Arial"/>
      <w:b/>
      <w:bCs/>
      <w:u w:val="single"/>
    </w:rPr>
  </w:style>
  <w:style w:type="paragraph" w:styleId="Heading3">
    <w:name w:val="heading 3"/>
    <w:basedOn w:val="Normal"/>
    <w:next w:val="Normal"/>
    <w:qFormat/>
    <w:rsid w:val="002E21B2"/>
    <w:pPr>
      <w:keepNext/>
      <w:spacing w:before="240" w:after="60"/>
      <w:outlineLvl w:val="2"/>
    </w:pPr>
    <w:rPr>
      <w:rFonts w:ascii="Arial" w:hAnsi="Arial" w:cs="Arial"/>
      <w:b/>
      <w:bCs/>
      <w:sz w:val="26"/>
      <w:szCs w:val="26"/>
    </w:rPr>
  </w:style>
  <w:style w:type="paragraph" w:styleId="Heading4">
    <w:name w:val="heading 4"/>
    <w:basedOn w:val="Normal"/>
    <w:next w:val="Normal"/>
    <w:qFormat/>
    <w:rsid w:val="00553807"/>
    <w:pPr>
      <w:keepNext/>
      <w:outlineLvl w:val="3"/>
    </w:pPr>
    <w:rPr>
      <w:u w:val="single"/>
    </w:rPr>
  </w:style>
  <w:style w:type="paragraph" w:styleId="Heading5">
    <w:name w:val="heading 5"/>
    <w:basedOn w:val="Normal"/>
    <w:next w:val="Normal"/>
    <w:qFormat/>
    <w:rsid w:val="00553807"/>
    <w:pPr>
      <w:keepNext/>
      <w:spacing w:before="40"/>
      <w:outlineLvl w:val="4"/>
    </w:pPr>
    <w:rPr>
      <w:rFonts w:ascii="Arial Narrow" w:hAnsi="Arial Narrow" w:cs="Arial"/>
      <w:b/>
      <w:bCs/>
      <w:sz w:val="22"/>
    </w:rPr>
  </w:style>
  <w:style w:type="paragraph" w:styleId="Heading6">
    <w:name w:val="heading 6"/>
    <w:basedOn w:val="Normal"/>
    <w:next w:val="Normal"/>
    <w:qFormat/>
    <w:rsid w:val="00553807"/>
    <w:pPr>
      <w:keepNext/>
      <w:outlineLvl w:val="5"/>
    </w:pPr>
    <w:rPr>
      <w:rFonts w:ascii="Arial" w:hAnsi="Arial"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53807"/>
    <w:pPr>
      <w:widowControl w:val="0"/>
      <w:tabs>
        <w:tab w:val="center" w:pos="4320"/>
        <w:tab w:val="right" w:pos="8640"/>
      </w:tabs>
      <w:autoSpaceDE w:val="0"/>
      <w:autoSpaceDN w:val="0"/>
      <w:adjustRightInd w:val="0"/>
    </w:pPr>
    <w:rPr>
      <w:sz w:val="20"/>
      <w:szCs w:val="20"/>
    </w:rPr>
  </w:style>
  <w:style w:type="paragraph" w:styleId="Header">
    <w:name w:val="header"/>
    <w:basedOn w:val="Normal"/>
    <w:rsid w:val="00553807"/>
    <w:pPr>
      <w:tabs>
        <w:tab w:val="center" w:pos="4320"/>
        <w:tab w:val="right" w:pos="8640"/>
      </w:tabs>
    </w:pPr>
  </w:style>
  <w:style w:type="paragraph" w:customStyle="1" w:styleId="p1">
    <w:name w:val="p1"/>
    <w:basedOn w:val="Normal"/>
    <w:rsid w:val="00553807"/>
    <w:pPr>
      <w:widowControl w:val="0"/>
      <w:tabs>
        <w:tab w:val="left" w:pos="2840"/>
      </w:tabs>
      <w:autoSpaceDE w:val="0"/>
      <w:autoSpaceDN w:val="0"/>
      <w:adjustRightInd w:val="0"/>
      <w:spacing w:line="240" w:lineRule="atLeast"/>
      <w:ind w:left="1880"/>
    </w:pPr>
  </w:style>
  <w:style w:type="paragraph" w:customStyle="1" w:styleId="p2">
    <w:name w:val="p2"/>
    <w:basedOn w:val="Normal"/>
    <w:rsid w:val="00553807"/>
    <w:pPr>
      <w:widowControl w:val="0"/>
      <w:tabs>
        <w:tab w:val="left" w:pos="720"/>
      </w:tabs>
      <w:autoSpaceDE w:val="0"/>
      <w:autoSpaceDN w:val="0"/>
      <w:adjustRightInd w:val="0"/>
      <w:spacing w:line="240" w:lineRule="atLeast"/>
    </w:pPr>
  </w:style>
  <w:style w:type="paragraph" w:customStyle="1" w:styleId="p3">
    <w:name w:val="p3"/>
    <w:basedOn w:val="Normal"/>
    <w:rsid w:val="00553807"/>
    <w:pPr>
      <w:widowControl w:val="0"/>
      <w:tabs>
        <w:tab w:val="left" w:pos="720"/>
      </w:tabs>
      <w:autoSpaceDE w:val="0"/>
      <w:autoSpaceDN w:val="0"/>
      <w:adjustRightInd w:val="0"/>
      <w:spacing w:line="420" w:lineRule="atLeast"/>
    </w:pPr>
  </w:style>
  <w:style w:type="paragraph" w:customStyle="1" w:styleId="p5">
    <w:name w:val="p5"/>
    <w:basedOn w:val="Normal"/>
    <w:rsid w:val="00553807"/>
    <w:pPr>
      <w:widowControl w:val="0"/>
      <w:tabs>
        <w:tab w:val="left" w:pos="2920"/>
      </w:tabs>
      <w:autoSpaceDE w:val="0"/>
      <w:autoSpaceDN w:val="0"/>
      <w:adjustRightInd w:val="0"/>
      <w:spacing w:line="420" w:lineRule="atLeast"/>
      <w:ind w:left="240" w:hanging="720"/>
    </w:pPr>
  </w:style>
  <w:style w:type="paragraph" w:customStyle="1" w:styleId="p6">
    <w:name w:val="p6"/>
    <w:basedOn w:val="Normal"/>
    <w:rsid w:val="00553807"/>
    <w:pPr>
      <w:widowControl w:val="0"/>
      <w:tabs>
        <w:tab w:val="left" w:pos="1420"/>
      </w:tabs>
      <w:autoSpaceDE w:val="0"/>
      <w:autoSpaceDN w:val="0"/>
      <w:adjustRightInd w:val="0"/>
      <w:spacing w:line="260" w:lineRule="atLeast"/>
      <w:ind w:left="460"/>
    </w:pPr>
  </w:style>
  <w:style w:type="paragraph" w:customStyle="1" w:styleId="c7">
    <w:name w:val="c7"/>
    <w:basedOn w:val="Normal"/>
    <w:rsid w:val="00553807"/>
    <w:pPr>
      <w:widowControl w:val="0"/>
      <w:autoSpaceDE w:val="0"/>
      <w:autoSpaceDN w:val="0"/>
      <w:adjustRightInd w:val="0"/>
      <w:spacing w:line="240" w:lineRule="atLeast"/>
      <w:jc w:val="center"/>
    </w:pPr>
  </w:style>
  <w:style w:type="paragraph" w:customStyle="1" w:styleId="p12">
    <w:name w:val="p12"/>
    <w:basedOn w:val="Normal"/>
    <w:rsid w:val="00553807"/>
    <w:pPr>
      <w:widowControl w:val="0"/>
      <w:autoSpaceDE w:val="0"/>
      <w:autoSpaceDN w:val="0"/>
      <w:adjustRightInd w:val="0"/>
      <w:spacing w:line="260" w:lineRule="atLeast"/>
      <w:ind w:left="1200"/>
    </w:pPr>
  </w:style>
  <w:style w:type="paragraph" w:customStyle="1" w:styleId="p16">
    <w:name w:val="p16"/>
    <w:basedOn w:val="Normal"/>
    <w:rsid w:val="00553807"/>
    <w:pPr>
      <w:widowControl w:val="0"/>
      <w:tabs>
        <w:tab w:val="left" w:pos="720"/>
      </w:tabs>
      <w:autoSpaceDE w:val="0"/>
      <w:autoSpaceDN w:val="0"/>
      <w:adjustRightInd w:val="0"/>
      <w:spacing w:line="260" w:lineRule="atLeast"/>
    </w:pPr>
  </w:style>
  <w:style w:type="paragraph" w:customStyle="1" w:styleId="p17">
    <w:name w:val="p17"/>
    <w:basedOn w:val="Normal"/>
    <w:rsid w:val="00553807"/>
    <w:pPr>
      <w:widowControl w:val="0"/>
      <w:tabs>
        <w:tab w:val="left" w:pos="2920"/>
      </w:tabs>
      <w:autoSpaceDE w:val="0"/>
      <w:autoSpaceDN w:val="0"/>
      <w:adjustRightInd w:val="0"/>
      <w:spacing w:line="260" w:lineRule="atLeast"/>
      <w:ind w:left="1960"/>
    </w:pPr>
  </w:style>
  <w:style w:type="paragraph" w:styleId="BalloonText">
    <w:name w:val="Balloon Text"/>
    <w:basedOn w:val="Normal"/>
    <w:link w:val="BalloonTextChar"/>
    <w:rsid w:val="009C422B"/>
    <w:rPr>
      <w:rFonts w:ascii="Tahoma" w:hAnsi="Tahoma" w:cs="Tahoma"/>
      <w:sz w:val="16"/>
      <w:szCs w:val="16"/>
    </w:rPr>
  </w:style>
  <w:style w:type="character" w:customStyle="1" w:styleId="BalloonTextChar">
    <w:name w:val="Balloon Text Char"/>
    <w:basedOn w:val="DefaultParagraphFont"/>
    <w:link w:val="BalloonText"/>
    <w:rsid w:val="009C422B"/>
    <w:rPr>
      <w:rFonts w:ascii="Tahoma" w:hAnsi="Tahoma" w:cs="Tahoma"/>
      <w:sz w:val="16"/>
      <w:szCs w:val="16"/>
    </w:rPr>
  </w:style>
  <w:style w:type="paragraph" w:styleId="BodyText2">
    <w:name w:val="Body Text 2"/>
    <w:basedOn w:val="Normal"/>
    <w:link w:val="BodyText2Char"/>
    <w:rsid w:val="009C422B"/>
    <w:pPr>
      <w:widowControl w:val="0"/>
    </w:pPr>
    <w:rPr>
      <w:rFonts w:ascii="Arial" w:hAnsi="Arial" w:cs="Arial"/>
      <w:snapToGrid w:val="0"/>
      <w:sz w:val="22"/>
      <w:szCs w:val="20"/>
    </w:rPr>
  </w:style>
  <w:style w:type="character" w:customStyle="1" w:styleId="BodyText2Char">
    <w:name w:val="Body Text 2 Char"/>
    <w:basedOn w:val="DefaultParagraphFont"/>
    <w:link w:val="BodyText2"/>
    <w:rsid w:val="009C422B"/>
    <w:rPr>
      <w:rFonts w:ascii="Arial" w:hAnsi="Arial" w:cs="Arial"/>
      <w:snapToGrid w:val="0"/>
      <w:sz w:val="22"/>
    </w:rPr>
  </w:style>
  <w:style w:type="paragraph" w:styleId="ListParagraph">
    <w:name w:val="List Paragraph"/>
    <w:basedOn w:val="Normal"/>
    <w:uiPriority w:val="34"/>
    <w:qFormat/>
    <w:rsid w:val="005314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PATIENT COLLECTIONS</vt:lpstr>
    </vt:vector>
  </TitlesOfParts>
  <Company>IHC</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COLLECTIONS</dc:title>
  <dc:creator>Joseph F. Ebberwein</dc:creator>
  <cp:lastModifiedBy>Connie Williams</cp:lastModifiedBy>
  <cp:revision>2</cp:revision>
  <cp:lastPrinted>2018-01-11T20:44:00Z</cp:lastPrinted>
  <dcterms:created xsi:type="dcterms:W3CDTF">2018-08-30T16:40:00Z</dcterms:created>
  <dcterms:modified xsi:type="dcterms:W3CDTF">2018-08-30T16:40:00Z</dcterms:modified>
</cp:coreProperties>
</file>