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3" w:type="pct"/>
        <w:tblBorders>
          <w:top w:val="single" w:sz="4" w:space="0" w:color="auto"/>
          <w:left w:val="single" w:sz="4" w:space="0" w:color="auto"/>
          <w:bottom w:val="single" w:sz="4" w:space="0" w:color="auto"/>
          <w:right w:val="single" w:sz="4" w:space="0" w:color="auto"/>
        </w:tblBorders>
        <w:tblLook w:val="0000"/>
      </w:tblPr>
      <w:tblGrid>
        <w:gridCol w:w="3794"/>
        <w:gridCol w:w="2640"/>
        <w:gridCol w:w="4214"/>
      </w:tblGrid>
      <w:tr w:rsidR="00CA0F2F" w:rsidRPr="006E030C" w:rsidTr="00F24DA4">
        <w:trPr>
          <w:cantSplit/>
          <w:trHeight w:val="383"/>
        </w:trPr>
        <w:tc>
          <w:tcPr>
            <w:tcW w:w="3794" w:type="dxa"/>
            <w:vMerge w:val="restart"/>
            <w:tcBorders>
              <w:top w:val="single" w:sz="4" w:space="0" w:color="auto"/>
              <w:left w:val="single" w:sz="4" w:space="0" w:color="auto"/>
              <w:right w:val="single" w:sz="4" w:space="0" w:color="auto"/>
            </w:tcBorders>
          </w:tcPr>
          <w:p w:rsidR="008234CA" w:rsidRDefault="008234CA" w:rsidP="008234CA">
            <w:pPr>
              <w:rPr>
                <w:sz w:val="28"/>
                <w:szCs w:val="28"/>
              </w:rPr>
            </w:pPr>
            <w:r>
              <w:rPr>
                <w:sz w:val="28"/>
                <w:szCs w:val="28"/>
              </w:rPr>
              <w:t>Anaphylaxis</w:t>
            </w:r>
            <w:r w:rsidRPr="00EB57F0">
              <w:rPr>
                <w:sz w:val="28"/>
                <w:szCs w:val="28"/>
              </w:rPr>
              <w:t xml:space="preserve"> Policy &amp; Procedure</w:t>
            </w:r>
            <w:r w:rsidR="002D3A1A">
              <w:rPr>
                <w:sz w:val="28"/>
                <w:szCs w:val="28"/>
              </w:rPr>
              <w:t xml:space="preserve"> </w:t>
            </w:r>
          </w:p>
          <w:p w:rsidR="00CA0F2F" w:rsidRPr="006E030C" w:rsidRDefault="00CA0F2F" w:rsidP="00F24DA4">
            <w:pPr>
              <w:pStyle w:val="Heading3"/>
              <w:spacing w:before="120" w:after="120"/>
              <w:rPr>
                <w:b w:val="0"/>
                <w:bCs w:val="0"/>
                <w:iCs/>
                <w:noProof/>
                <w:spacing w:val="-1"/>
                <w:sz w:val="32"/>
                <w:szCs w:val="23"/>
                <w:u w:val="none"/>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F24DA4">
            <w:pPr>
              <w:spacing w:before="40"/>
              <w:rPr>
                <w:bCs w:val="0"/>
              </w:rPr>
            </w:pPr>
            <w:r w:rsidRPr="00B43524">
              <w:rPr>
                <w:bCs w:val="0"/>
              </w:rPr>
              <w:t>Last Revision:</w:t>
            </w:r>
            <w:r w:rsidRPr="00B43524">
              <w:t xml:space="preserve"> </w:t>
            </w:r>
          </w:p>
        </w:tc>
        <w:tc>
          <w:tcPr>
            <w:tcW w:w="4214" w:type="dxa"/>
            <w:tcBorders>
              <w:top w:val="single" w:sz="4" w:space="0" w:color="auto"/>
              <w:left w:val="nil"/>
              <w:bottom w:val="single" w:sz="4" w:space="0" w:color="auto"/>
              <w:right w:val="single" w:sz="4" w:space="0" w:color="auto"/>
            </w:tcBorders>
          </w:tcPr>
          <w:p w:rsidR="00CA0F2F" w:rsidRPr="00B43524" w:rsidRDefault="00CD5544" w:rsidP="00F24DA4">
            <w:pPr>
              <w:spacing w:before="40"/>
              <w:rPr>
                <w:b w:val="0"/>
              </w:rPr>
            </w:pPr>
            <w:r>
              <w:rPr>
                <w:b w:val="0"/>
              </w:rPr>
              <w:t xml:space="preserve">  October 2016</w:t>
            </w:r>
          </w:p>
        </w:tc>
      </w:tr>
      <w:tr w:rsidR="00CA0F2F" w:rsidRPr="006E030C" w:rsidTr="00F24DA4">
        <w:trPr>
          <w:cantSplit/>
          <w:trHeight w:val="383"/>
        </w:trPr>
        <w:tc>
          <w:tcPr>
            <w:tcW w:w="3794" w:type="dxa"/>
            <w:vMerge/>
            <w:tcBorders>
              <w:left w:val="single" w:sz="4" w:space="0" w:color="auto"/>
              <w:right w:val="single" w:sz="4" w:space="0" w:color="auto"/>
            </w:tcBorders>
          </w:tcPr>
          <w:p w:rsidR="00CA0F2F" w:rsidRDefault="00CA0F2F" w:rsidP="00F24DA4">
            <w:pPr>
              <w:pStyle w:val="Title"/>
              <w:jc w:val="both"/>
              <w:rPr>
                <w:iCs/>
                <w:sz w:val="32"/>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F24DA4">
            <w:pPr>
              <w:spacing w:before="40"/>
              <w:rPr>
                <w:bCs w:val="0"/>
              </w:rPr>
            </w:pPr>
            <w:r w:rsidRPr="00B43524">
              <w:rPr>
                <w:bCs w:val="0"/>
              </w:rPr>
              <w:t>Last Reviewed</w:t>
            </w:r>
          </w:p>
        </w:tc>
        <w:tc>
          <w:tcPr>
            <w:tcW w:w="4214" w:type="dxa"/>
            <w:tcBorders>
              <w:top w:val="single" w:sz="4" w:space="0" w:color="auto"/>
              <w:left w:val="nil"/>
              <w:bottom w:val="single" w:sz="4" w:space="0" w:color="auto"/>
              <w:right w:val="single" w:sz="4" w:space="0" w:color="auto"/>
            </w:tcBorders>
          </w:tcPr>
          <w:p w:rsidR="00CA0F2F" w:rsidRPr="00B43524" w:rsidRDefault="002D3A1A" w:rsidP="00C331EE">
            <w:pPr>
              <w:spacing w:before="40"/>
              <w:rPr>
                <w:b w:val="0"/>
              </w:rPr>
            </w:pPr>
            <w:r>
              <w:rPr>
                <w:b w:val="0"/>
              </w:rPr>
              <w:t xml:space="preserve">  </w:t>
            </w:r>
            <w:r w:rsidR="00C331EE">
              <w:rPr>
                <w:b w:val="0"/>
              </w:rPr>
              <w:t>June 2018</w:t>
            </w:r>
          </w:p>
        </w:tc>
      </w:tr>
      <w:tr w:rsidR="00CA0F2F" w:rsidRPr="006E030C" w:rsidTr="00F24DA4">
        <w:trPr>
          <w:cantSplit/>
          <w:trHeight w:val="383"/>
        </w:trPr>
        <w:tc>
          <w:tcPr>
            <w:tcW w:w="3794" w:type="dxa"/>
            <w:vMerge/>
            <w:tcBorders>
              <w:left w:val="single" w:sz="4" w:space="0" w:color="auto"/>
              <w:right w:val="single" w:sz="4" w:space="0" w:color="auto"/>
            </w:tcBorders>
          </w:tcPr>
          <w:p w:rsidR="00CA0F2F" w:rsidRPr="006E030C" w:rsidRDefault="00CA0F2F" w:rsidP="00F24DA4">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F24DA4">
            <w:pPr>
              <w:spacing w:before="40"/>
              <w:rPr>
                <w:bCs w:val="0"/>
              </w:rPr>
            </w:pPr>
            <w:r w:rsidRPr="00B43524">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Health Care</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Hospice</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Independent Life at Home</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Ideal Aging</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RightHealth</w:t>
            </w:r>
            <w:r w:rsidRPr="00B43524">
              <w:rPr>
                <w:b w:val="0"/>
                <w:vertAlign w:val="superscript"/>
              </w:rPr>
              <w:t>®</w:t>
            </w:r>
          </w:p>
        </w:tc>
      </w:tr>
      <w:tr w:rsidR="00CA0F2F" w:rsidRPr="006E030C" w:rsidTr="00F24DA4">
        <w:trPr>
          <w:cantSplit/>
          <w:trHeight w:val="383"/>
        </w:trPr>
        <w:tc>
          <w:tcPr>
            <w:tcW w:w="3794" w:type="dxa"/>
            <w:vMerge/>
            <w:tcBorders>
              <w:left w:val="single" w:sz="4" w:space="0" w:color="auto"/>
              <w:right w:val="single" w:sz="4" w:space="0" w:color="auto"/>
            </w:tcBorders>
          </w:tcPr>
          <w:p w:rsidR="00CA0F2F" w:rsidRPr="006E030C" w:rsidRDefault="00CA0F2F" w:rsidP="00F24DA4">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F24DA4">
            <w:pPr>
              <w:spacing w:before="40"/>
              <w:rPr>
                <w:bCs w:val="0"/>
              </w:rPr>
            </w:pPr>
            <w:r w:rsidRPr="00B43524">
              <w:t>Included in the following THA Manual:</w:t>
            </w:r>
          </w:p>
        </w:tc>
        <w:tc>
          <w:tcPr>
            <w:tcW w:w="4214" w:type="dxa"/>
            <w:tcBorders>
              <w:top w:val="single" w:sz="4" w:space="0" w:color="auto"/>
              <w:left w:val="nil"/>
              <w:bottom w:val="single" w:sz="4" w:space="0" w:color="auto"/>
              <w:right w:val="single" w:sz="4" w:space="0" w:color="auto"/>
            </w:tcBorders>
          </w:tcPr>
          <w:p w:rsidR="00CA0F2F" w:rsidRDefault="00CA0F2F" w:rsidP="008234CA">
            <w:pPr>
              <w:widowControl w:val="0"/>
            </w:pPr>
          </w:p>
          <w:p w:rsidR="00C331EE" w:rsidRPr="00C331EE" w:rsidRDefault="00BF59D2" w:rsidP="008234CA">
            <w:pPr>
              <w:widowControl w:val="0"/>
              <w:rPr>
                <w:b w:val="0"/>
                <w:sz w:val="22"/>
              </w:rPr>
            </w:pPr>
            <w:r w:rsidRPr="00BF59D2">
              <w:rPr>
                <w:b w:val="0"/>
              </w:rPr>
              <w:t>Administrative Policies and Procedures Manual</w:t>
            </w:r>
          </w:p>
          <w:p w:rsidR="00C331EE" w:rsidRPr="008234CA" w:rsidRDefault="00BF59D2" w:rsidP="008234CA">
            <w:pPr>
              <w:widowControl w:val="0"/>
            </w:pPr>
            <w:r w:rsidRPr="00BF59D2">
              <w:rPr>
                <w:b w:val="0"/>
              </w:rPr>
              <w:t>Provision of Care, Treatment, &amp; Service</w:t>
            </w:r>
          </w:p>
        </w:tc>
      </w:tr>
    </w:tbl>
    <w:p w:rsidR="00CA0F2F" w:rsidRPr="006E030C" w:rsidRDefault="00CA0F2F" w:rsidP="00CA0F2F">
      <w:pPr>
        <w:pStyle w:val="Title"/>
        <w:rPr>
          <w:b w:val="0"/>
          <w:sz w:val="28"/>
        </w:rPr>
      </w:pPr>
    </w:p>
    <w:p w:rsidR="00CA0F2F" w:rsidRPr="006E030C" w:rsidRDefault="00CA0F2F" w:rsidP="00CA0F2F">
      <w:pPr>
        <w:pStyle w:val="Title"/>
        <w:rPr>
          <w:b w:val="0"/>
          <w:sz w:val="28"/>
        </w:rPr>
      </w:pPr>
    </w:p>
    <w:p w:rsidR="00CA0F2F" w:rsidRDefault="00CA0F2F" w:rsidP="00CA0F2F">
      <w:r w:rsidRPr="00CA4193">
        <w:t>POLICY</w:t>
      </w:r>
    </w:p>
    <w:p w:rsidR="00CA0F2F" w:rsidRPr="008234CA" w:rsidRDefault="008234CA" w:rsidP="00CA0F2F">
      <w:pPr>
        <w:rPr>
          <w:b w:val="0"/>
        </w:rPr>
      </w:pPr>
      <w:r w:rsidRPr="008234CA">
        <w:rPr>
          <w:b w:val="0"/>
        </w:rPr>
        <w:t>Drug sensitivity is questioned prior to administering any medication in order to prevent anaphylaxis. First dose should be administered with MD present unless approved otherwise. An RN administers immediate treatment based on the following procedure. The patient is then immediately referred to a physician</w:t>
      </w:r>
    </w:p>
    <w:p w:rsidR="00CA0F2F" w:rsidRDefault="00CA0F2F" w:rsidP="00CA0F2F"/>
    <w:p w:rsidR="00CA0F2F" w:rsidRDefault="00CA0F2F" w:rsidP="00CA0F2F"/>
    <w:p w:rsidR="00CA0F2F" w:rsidRDefault="00CA0F2F" w:rsidP="00CA0F2F"/>
    <w:p w:rsidR="00CA0F2F" w:rsidRDefault="00CA0F2F" w:rsidP="00CA0F2F">
      <w:r>
        <w:t>PROCEDURE</w:t>
      </w:r>
    </w:p>
    <w:p w:rsidR="00CA0F2F" w:rsidRDefault="00CA0F2F" w:rsidP="00CA0F2F"/>
    <w:p w:rsidR="008234CA" w:rsidRPr="008234CA" w:rsidRDefault="008234CA" w:rsidP="008234CA">
      <w:pPr>
        <w:numPr>
          <w:ilvl w:val="0"/>
          <w:numId w:val="2"/>
        </w:numPr>
        <w:rPr>
          <w:b w:val="0"/>
        </w:rPr>
      </w:pPr>
      <w:r w:rsidRPr="008234CA">
        <w:rPr>
          <w:b w:val="0"/>
        </w:rPr>
        <w:t>Definition: a generalized life threatening allergic reaction.</w:t>
      </w:r>
    </w:p>
    <w:p w:rsidR="008234CA" w:rsidRPr="008234CA" w:rsidRDefault="008234CA" w:rsidP="008234CA">
      <w:pPr>
        <w:numPr>
          <w:ilvl w:val="0"/>
          <w:numId w:val="2"/>
        </w:numPr>
        <w:rPr>
          <w:b w:val="0"/>
        </w:rPr>
      </w:pPr>
      <w:r w:rsidRPr="008234CA">
        <w:rPr>
          <w:b w:val="0"/>
        </w:rPr>
        <w:t>Etiology: drug.</w:t>
      </w:r>
    </w:p>
    <w:p w:rsidR="008234CA" w:rsidRPr="008234CA" w:rsidRDefault="008234CA" w:rsidP="008234CA">
      <w:pPr>
        <w:numPr>
          <w:ilvl w:val="0"/>
          <w:numId w:val="2"/>
        </w:numPr>
        <w:rPr>
          <w:b w:val="0"/>
        </w:rPr>
      </w:pPr>
      <w:r w:rsidRPr="008234CA">
        <w:rPr>
          <w:b w:val="0"/>
        </w:rPr>
        <w:t>Findings:</w:t>
      </w:r>
    </w:p>
    <w:p w:rsidR="008234CA" w:rsidRPr="008234CA" w:rsidRDefault="008234CA" w:rsidP="008234CA">
      <w:pPr>
        <w:numPr>
          <w:ilvl w:val="1"/>
          <w:numId w:val="2"/>
        </w:numPr>
        <w:rPr>
          <w:b w:val="0"/>
        </w:rPr>
      </w:pPr>
      <w:r w:rsidRPr="008234CA">
        <w:rPr>
          <w:b w:val="0"/>
        </w:rPr>
        <w:t xml:space="preserve">Subjective-itching, sensation of warmth, apprehension, and SOB. </w:t>
      </w:r>
    </w:p>
    <w:p w:rsidR="008234CA" w:rsidRPr="008234CA" w:rsidRDefault="008234CA" w:rsidP="008234CA">
      <w:pPr>
        <w:numPr>
          <w:ilvl w:val="1"/>
          <w:numId w:val="2"/>
        </w:numPr>
        <w:rPr>
          <w:b w:val="0"/>
        </w:rPr>
      </w:pPr>
      <w:r w:rsidRPr="008234CA">
        <w:rPr>
          <w:b w:val="0"/>
        </w:rPr>
        <w:t>Objective- edema, pupil dilation, cyanosis, wheezing, weak and rapid pulse, respiratory distress, decreased blood pressure.</w:t>
      </w:r>
    </w:p>
    <w:p w:rsidR="008234CA" w:rsidRPr="008234CA" w:rsidRDefault="008234CA" w:rsidP="008234CA">
      <w:pPr>
        <w:numPr>
          <w:ilvl w:val="0"/>
          <w:numId w:val="2"/>
        </w:numPr>
        <w:rPr>
          <w:b w:val="0"/>
        </w:rPr>
      </w:pPr>
      <w:r w:rsidRPr="008234CA">
        <w:rPr>
          <w:b w:val="0"/>
        </w:rPr>
        <w:t>Treatment Plan</w:t>
      </w:r>
      <w:r>
        <w:rPr>
          <w:b w:val="0"/>
        </w:rPr>
        <w:t xml:space="preserve"> requires physicians order of medication and it’s administration.</w:t>
      </w:r>
    </w:p>
    <w:p w:rsidR="008234CA" w:rsidRPr="008234CA" w:rsidRDefault="008234CA" w:rsidP="008234CA">
      <w:pPr>
        <w:numPr>
          <w:ilvl w:val="1"/>
          <w:numId w:val="2"/>
        </w:numPr>
        <w:rPr>
          <w:b w:val="0"/>
        </w:rPr>
      </w:pPr>
      <w:r w:rsidRPr="008234CA">
        <w:rPr>
          <w:b w:val="0"/>
        </w:rPr>
        <w:t>Mild  anaphylaxis (urticaria, rh</w:t>
      </w:r>
      <w:r w:rsidR="00CD5544">
        <w:rPr>
          <w:b w:val="0"/>
        </w:rPr>
        <w:t>initis, conjunctivitis, mild bronchospasm)</w:t>
      </w:r>
    </w:p>
    <w:p w:rsidR="008234CA" w:rsidRPr="008234CA" w:rsidRDefault="00CD5544" w:rsidP="008234CA">
      <w:pPr>
        <w:ind w:left="2880"/>
        <w:rPr>
          <w:b w:val="0"/>
        </w:rPr>
      </w:pPr>
      <w:r>
        <w:rPr>
          <w:b w:val="0"/>
        </w:rPr>
        <w:t xml:space="preserve">       </w:t>
      </w:r>
      <w:r w:rsidR="008234CA">
        <w:rPr>
          <w:b w:val="0"/>
        </w:rPr>
        <w:t xml:space="preserve"> </w:t>
      </w:r>
      <w:r w:rsidR="008234CA" w:rsidRPr="008234CA">
        <w:rPr>
          <w:b w:val="0"/>
        </w:rPr>
        <w:t>administer Benadryl 50mg IM</w:t>
      </w:r>
    </w:p>
    <w:p w:rsidR="008234CA" w:rsidRPr="008234CA" w:rsidRDefault="008234CA" w:rsidP="008234CA">
      <w:pPr>
        <w:numPr>
          <w:ilvl w:val="1"/>
          <w:numId w:val="2"/>
        </w:numPr>
        <w:jc w:val="both"/>
        <w:rPr>
          <w:b w:val="0"/>
        </w:rPr>
      </w:pPr>
      <w:r w:rsidRPr="008234CA">
        <w:rPr>
          <w:b w:val="0"/>
        </w:rPr>
        <w:t>Moderate anaphylaxis (generalized urticaria, angioedema, hypotension,</w:t>
      </w:r>
    </w:p>
    <w:p w:rsidR="008234CA" w:rsidRPr="008234CA" w:rsidRDefault="00CD5544" w:rsidP="00CD5544">
      <w:pPr>
        <w:ind w:left="3270"/>
        <w:rPr>
          <w:b w:val="0"/>
        </w:rPr>
      </w:pPr>
      <w:r>
        <w:rPr>
          <w:b w:val="0"/>
        </w:rPr>
        <w:t>e</w:t>
      </w:r>
      <w:r w:rsidR="008234CA" w:rsidRPr="008234CA">
        <w:rPr>
          <w:b w:val="0"/>
        </w:rPr>
        <w:t xml:space="preserve">arly laryngeal edema, BP below 80mm systolic): </w:t>
      </w:r>
      <w:r w:rsidR="008234CA">
        <w:rPr>
          <w:b w:val="0"/>
        </w:rPr>
        <w:t xml:space="preserve">                        </w:t>
      </w:r>
      <w:r>
        <w:rPr>
          <w:b w:val="0"/>
        </w:rPr>
        <w:t xml:space="preserve">     </w:t>
      </w:r>
      <w:r w:rsidR="008234CA" w:rsidRPr="008234CA">
        <w:rPr>
          <w:b w:val="0"/>
        </w:rPr>
        <w:t>administer epinephrine 0.3-0.5ml. 1:1000 (1mg/ml) subcutaneous and repeat every 10-15 minutes, for a maximum 1mg dose.</w:t>
      </w:r>
    </w:p>
    <w:p w:rsidR="008234CA" w:rsidRPr="008234CA" w:rsidRDefault="008234CA" w:rsidP="008234CA">
      <w:pPr>
        <w:numPr>
          <w:ilvl w:val="1"/>
          <w:numId w:val="2"/>
        </w:numPr>
        <w:rPr>
          <w:b w:val="0"/>
        </w:rPr>
      </w:pPr>
      <w:r w:rsidRPr="008234CA">
        <w:rPr>
          <w:b w:val="0"/>
        </w:rPr>
        <w:t>Record vital signs.</w:t>
      </w:r>
    </w:p>
    <w:p w:rsidR="008234CA" w:rsidRPr="008234CA" w:rsidRDefault="008234CA" w:rsidP="008234CA">
      <w:pPr>
        <w:numPr>
          <w:ilvl w:val="1"/>
          <w:numId w:val="2"/>
        </w:numPr>
        <w:rPr>
          <w:b w:val="0"/>
        </w:rPr>
      </w:pPr>
      <w:r w:rsidRPr="008234CA">
        <w:rPr>
          <w:b w:val="0"/>
        </w:rPr>
        <w:t>Maintain an open airway.</w:t>
      </w:r>
    </w:p>
    <w:p w:rsidR="008234CA" w:rsidRPr="008234CA" w:rsidRDefault="008234CA" w:rsidP="008234CA">
      <w:pPr>
        <w:numPr>
          <w:ilvl w:val="1"/>
          <w:numId w:val="2"/>
        </w:numPr>
        <w:rPr>
          <w:b w:val="0"/>
        </w:rPr>
      </w:pPr>
      <w:r w:rsidRPr="008234CA">
        <w:rPr>
          <w:b w:val="0"/>
        </w:rPr>
        <w:t xml:space="preserve">Place in </w:t>
      </w:r>
      <w:r>
        <w:rPr>
          <w:b w:val="0"/>
        </w:rPr>
        <w:t xml:space="preserve">modified </w:t>
      </w:r>
      <w:r w:rsidR="00CD5544">
        <w:rPr>
          <w:b w:val="0"/>
        </w:rPr>
        <w:t>T</w:t>
      </w:r>
      <w:r w:rsidRPr="008234CA">
        <w:rPr>
          <w:b w:val="0"/>
        </w:rPr>
        <w:t>rendelenburg position.</w:t>
      </w:r>
    </w:p>
    <w:p w:rsidR="008234CA" w:rsidRPr="008234CA" w:rsidRDefault="008234CA" w:rsidP="008234CA">
      <w:pPr>
        <w:numPr>
          <w:ilvl w:val="1"/>
          <w:numId w:val="2"/>
        </w:numPr>
        <w:rPr>
          <w:b w:val="0"/>
        </w:rPr>
      </w:pPr>
      <w:r w:rsidRPr="008234CA">
        <w:rPr>
          <w:b w:val="0"/>
        </w:rPr>
        <w:t>Call 911 after treatment is given. All anaphylactic reactions are sent to the ER, regardless of severity.</w:t>
      </w:r>
    </w:p>
    <w:p w:rsidR="008234CA" w:rsidRPr="008234CA" w:rsidRDefault="008234CA" w:rsidP="008234CA">
      <w:pPr>
        <w:rPr>
          <w:b w:val="0"/>
        </w:rPr>
      </w:pPr>
    </w:p>
    <w:p w:rsidR="008234CA" w:rsidRPr="008234CA" w:rsidRDefault="008234CA" w:rsidP="008234CA">
      <w:pPr>
        <w:rPr>
          <w:b w:val="0"/>
        </w:rPr>
      </w:pPr>
    </w:p>
    <w:p w:rsidR="008234CA" w:rsidRPr="008234CA" w:rsidRDefault="008234CA" w:rsidP="008234CA">
      <w:pPr>
        <w:rPr>
          <w:b w:val="0"/>
        </w:rPr>
      </w:pPr>
      <w:r w:rsidRPr="008234CA">
        <w:rPr>
          <w:b w:val="0"/>
        </w:rPr>
        <w:t xml:space="preserve">         </w:t>
      </w:r>
    </w:p>
    <w:p w:rsidR="008234CA" w:rsidRPr="008234CA" w:rsidRDefault="008234CA" w:rsidP="008234CA">
      <w:pPr>
        <w:rPr>
          <w:b w:val="0"/>
        </w:rPr>
      </w:pPr>
      <w:r w:rsidRPr="008234CA">
        <w:rPr>
          <w:b w:val="0"/>
        </w:rPr>
        <w:t xml:space="preserve">              </w:t>
      </w:r>
    </w:p>
    <w:p w:rsidR="00F24DA4" w:rsidRPr="008234CA" w:rsidRDefault="00F24DA4">
      <w:pPr>
        <w:rPr>
          <w:b w:val="0"/>
        </w:rPr>
      </w:pPr>
    </w:p>
    <w:sectPr w:rsidR="00F24DA4" w:rsidRPr="008234CA" w:rsidSect="00F24DA4">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A4" w:rsidRDefault="00F24DA4" w:rsidP="00CA0F2F">
      <w:r>
        <w:separator/>
      </w:r>
    </w:p>
  </w:endnote>
  <w:endnote w:type="continuationSeparator" w:id="0">
    <w:p w:rsidR="00F24DA4" w:rsidRDefault="00F24DA4" w:rsidP="00CA0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A4" w:rsidRPr="00CA0F2F" w:rsidRDefault="00242524" w:rsidP="00CA0F2F">
    <w:pPr>
      <w:pStyle w:val="Footer"/>
      <w:tabs>
        <w:tab w:val="clear" w:pos="4320"/>
        <w:tab w:val="clear" w:pos="8640"/>
        <w:tab w:val="right" w:pos="10800"/>
      </w:tabs>
      <w:rPr>
        <w:b w:val="0"/>
        <w:sz w:val="16"/>
      </w:rPr>
    </w:pPr>
    <w:r>
      <w:rPr>
        <w:b w:val="0"/>
        <w:sz w:val="16"/>
        <w:szCs w:val="16"/>
      </w:rPr>
      <w:t xml:space="preserve">G: Policies and Procedures\Administrative Policy and Procedure Manual\Provision of Care, Treatment, &amp; Service\Anaphylaxis Policy &amp; </w:t>
    </w:r>
    <w:proofErr w:type="spellStart"/>
    <w:r>
      <w:rPr>
        <w:b w:val="0"/>
        <w:sz w:val="16"/>
        <w:szCs w:val="16"/>
      </w:rPr>
      <w:t>Procedure.doc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A4" w:rsidRDefault="00F24DA4" w:rsidP="00CA0F2F">
      <w:r>
        <w:separator/>
      </w:r>
    </w:p>
  </w:footnote>
  <w:footnote w:type="continuationSeparator" w:id="0">
    <w:p w:rsidR="00F24DA4" w:rsidRDefault="00F24DA4" w:rsidP="00CA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96EB5"/>
    <w:multiLevelType w:val="hybridMultilevel"/>
    <w:tmpl w:val="E0F84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0F2F"/>
    <w:rsid w:val="00066EE1"/>
    <w:rsid w:val="00066F3F"/>
    <w:rsid w:val="000819DE"/>
    <w:rsid w:val="000C5662"/>
    <w:rsid w:val="00152A63"/>
    <w:rsid w:val="00191989"/>
    <w:rsid w:val="00242524"/>
    <w:rsid w:val="002D3A1A"/>
    <w:rsid w:val="00423D0B"/>
    <w:rsid w:val="004922F9"/>
    <w:rsid w:val="00556AC9"/>
    <w:rsid w:val="005A0614"/>
    <w:rsid w:val="006A7E99"/>
    <w:rsid w:val="007A5798"/>
    <w:rsid w:val="008234CA"/>
    <w:rsid w:val="00897E1F"/>
    <w:rsid w:val="00B4718E"/>
    <w:rsid w:val="00BF59D2"/>
    <w:rsid w:val="00C331EE"/>
    <w:rsid w:val="00CA0F2F"/>
    <w:rsid w:val="00CD5544"/>
    <w:rsid w:val="00CF76C9"/>
    <w:rsid w:val="00F24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semiHidden/>
    <w:unhideWhenUsed/>
    <w:rsid w:val="00CA0F2F"/>
    <w:pPr>
      <w:tabs>
        <w:tab w:val="center" w:pos="4680"/>
        <w:tab w:val="right" w:pos="9360"/>
      </w:tabs>
    </w:pPr>
  </w:style>
  <w:style w:type="character" w:customStyle="1" w:styleId="HeaderChar">
    <w:name w:val="Header Char"/>
    <w:basedOn w:val="DefaultParagraphFont"/>
    <w:link w:val="Header"/>
    <w:uiPriority w:val="99"/>
    <w:semiHidden/>
    <w:rsid w:val="00CA0F2F"/>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2D3A1A"/>
    <w:rPr>
      <w:rFonts w:ascii="Tahoma" w:hAnsi="Tahoma" w:cs="Tahoma"/>
      <w:sz w:val="16"/>
      <w:szCs w:val="16"/>
    </w:rPr>
  </w:style>
  <w:style w:type="character" w:customStyle="1" w:styleId="BalloonTextChar">
    <w:name w:val="Balloon Text Char"/>
    <w:basedOn w:val="DefaultParagraphFont"/>
    <w:link w:val="BalloonText"/>
    <w:uiPriority w:val="99"/>
    <w:semiHidden/>
    <w:rsid w:val="002D3A1A"/>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cwilliams</cp:lastModifiedBy>
  <cp:revision>2</cp:revision>
  <cp:lastPrinted>2018-07-23T18:33:00Z</cp:lastPrinted>
  <dcterms:created xsi:type="dcterms:W3CDTF">2018-07-23T18:34:00Z</dcterms:created>
  <dcterms:modified xsi:type="dcterms:W3CDTF">2018-07-23T18:34:00Z</dcterms:modified>
</cp:coreProperties>
</file>