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0"/>
        <w:gridCol w:w="2468"/>
        <w:gridCol w:w="4782"/>
      </w:tblGrid>
      <w:tr w:rsidR="008356A6" w:rsidTr="00306F6C">
        <w:trPr>
          <w:cantSplit/>
          <w:trHeight w:val="265"/>
        </w:trPr>
        <w:tc>
          <w:tcPr>
            <w:tcW w:w="3940" w:type="dxa"/>
            <w:vMerge w:val="restart"/>
          </w:tcPr>
          <w:p w:rsidR="008356A6" w:rsidRPr="008356A6" w:rsidRDefault="008356A6" w:rsidP="008356A6">
            <w:pPr>
              <w:pStyle w:val="Heading1"/>
              <w:widowControl w:val="0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before="40" w:after="0"/>
              <w:ind w:left="72"/>
              <w:jc w:val="left"/>
              <w:rPr>
                <w:rFonts w:ascii="Arial" w:hAnsi="Arial" w:cs="Arial"/>
                <w:sz w:val="36"/>
                <w:szCs w:val="28"/>
              </w:rPr>
            </w:pPr>
            <w:r w:rsidRPr="008356A6">
              <w:rPr>
                <w:rFonts w:ascii="Arial" w:hAnsi="Arial" w:cs="Arial"/>
                <w:noProof/>
                <w:spacing w:val="-1"/>
                <w:sz w:val="36"/>
                <w:szCs w:val="28"/>
              </w:rPr>
              <w:t xml:space="preserve">Cultural Values, Ethical Principles, </w:t>
            </w:r>
            <w:r w:rsidR="00A81E61">
              <w:rPr>
                <w:rFonts w:ascii="Arial" w:hAnsi="Arial" w:cs="Arial"/>
                <w:noProof/>
                <w:spacing w:val="-1"/>
                <w:sz w:val="36"/>
                <w:szCs w:val="28"/>
              </w:rPr>
              <w:t xml:space="preserve">&amp; </w:t>
            </w:r>
            <w:r w:rsidRPr="008356A6">
              <w:rPr>
                <w:rFonts w:ascii="Arial" w:hAnsi="Arial" w:cs="Arial"/>
                <w:noProof/>
                <w:spacing w:val="-1"/>
                <w:sz w:val="36"/>
                <w:szCs w:val="28"/>
              </w:rPr>
              <w:t>Religious Beliefs</w:t>
            </w:r>
          </w:p>
        </w:tc>
        <w:tc>
          <w:tcPr>
            <w:tcW w:w="2468" w:type="dxa"/>
            <w:tcBorders>
              <w:bottom w:val="single" w:sz="4" w:space="0" w:color="auto"/>
              <w:right w:val="nil"/>
            </w:tcBorders>
          </w:tcPr>
          <w:p w:rsidR="008356A6" w:rsidRPr="008356A6" w:rsidRDefault="008356A6" w:rsidP="008356A6">
            <w:pPr>
              <w:spacing w:before="40"/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b/>
                <w:bCs/>
                <w:szCs w:val="24"/>
              </w:rPr>
              <w:t>Last Revision:</w:t>
            </w:r>
          </w:p>
        </w:tc>
        <w:tc>
          <w:tcPr>
            <w:tcW w:w="4782" w:type="dxa"/>
            <w:tcBorders>
              <w:left w:val="nil"/>
              <w:bottom w:val="single" w:sz="4" w:space="0" w:color="auto"/>
            </w:tcBorders>
          </w:tcPr>
          <w:p w:rsidR="008356A6" w:rsidRPr="008356A6" w:rsidRDefault="008356A6" w:rsidP="00A81E61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February 2015</w:t>
            </w:r>
          </w:p>
        </w:tc>
      </w:tr>
      <w:tr w:rsidR="008356A6" w:rsidTr="00306F6C">
        <w:trPr>
          <w:cantSplit/>
          <w:trHeight w:val="265"/>
        </w:trPr>
        <w:tc>
          <w:tcPr>
            <w:tcW w:w="3940" w:type="dxa"/>
            <w:vMerge/>
          </w:tcPr>
          <w:p w:rsidR="008356A6" w:rsidRPr="008356A6" w:rsidRDefault="008356A6" w:rsidP="008356A6">
            <w:pPr>
              <w:pStyle w:val="Heading1"/>
              <w:widowControl w:val="0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before="40" w:after="0"/>
              <w:ind w:left="72"/>
              <w:jc w:val="left"/>
              <w:rPr>
                <w:rFonts w:ascii="Arial" w:hAnsi="Arial" w:cs="Arial"/>
                <w:noProof/>
                <w:spacing w:val="-1"/>
                <w:sz w:val="36"/>
                <w:szCs w:val="28"/>
              </w:rPr>
            </w:pPr>
          </w:p>
        </w:tc>
        <w:tc>
          <w:tcPr>
            <w:tcW w:w="2468" w:type="dxa"/>
            <w:tcBorders>
              <w:bottom w:val="single" w:sz="4" w:space="0" w:color="auto"/>
              <w:right w:val="nil"/>
            </w:tcBorders>
          </w:tcPr>
          <w:p w:rsidR="008356A6" w:rsidRPr="008356A6" w:rsidRDefault="008356A6" w:rsidP="008356A6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782" w:type="dxa"/>
            <w:tcBorders>
              <w:left w:val="nil"/>
              <w:bottom w:val="single" w:sz="4" w:space="0" w:color="auto"/>
            </w:tcBorders>
          </w:tcPr>
          <w:p w:rsidR="00726539" w:rsidRPr="008356A6" w:rsidDel="00C51791" w:rsidRDefault="00612809" w:rsidP="00B40279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May 2018</w:t>
            </w:r>
          </w:p>
        </w:tc>
      </w:tr>
      <w:tr w:rsidR="008356A6" w:rsidTr="00306F6C">
        <w:trPr>
          <w:cantSplit/>
          <w:trHeight w:val="262"/>
        </w:trPr>
        <w:tc>
          <w:tcPr>
            <w:tcW w:w="3940" w:type="dxa"/>
            <w:vMerge/>
          </w:tcPr>
          <w:p w:rsidR="008356A6" w:rsidRDefault="008356A6" w:rsidP="008356A6">
            <w:pPr>
              <w:pStyle w:val="Heading1"/>
              <w:widowControl w:val="0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before="40" w:after="0"/>
              <w:ind w:left="72"/>
              <w:jc w:val="left"/>
              <w:rPr>
                <w:rFonts w:ascii="Arial" w:hAnsi="Arial"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56A6" w:rsidRPr="008356A6" w:rsidRDefault="008356A6" w:rsidP="008356A6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8356A6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6A6" w:rsidRPr="008356A6" w:rsidRDefault="008356A6" w:rsidP="008356A6">
            <w:pPr>
              <w:numPr>
                <w:ilvl w:val="0"/>
                <w:numId w:val="6"/>
              </w:numPr>
              <w:spacing w:before="40"/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Island Health Care</w:t>
            </w:r>
          </w:p>
          <w:p w:rsidR="008356A6" w:rsidRPr="008356A6" w:rsidRDefault="008356A6" w:rsidP="008356A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Island Hospice</w:t>
            </w:r>
          </w:p>
          <w:p w:rsidR="008356A6" w:rsidRDefault="008356A6" w:rsidP="008356A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Independent Life at Home</w:t>
            </w:r>
          </w:p>
          <w:p w:rsidR="008356A6" w:rsidRPr="00306F6C" w:rsidRDefault="008356A6" w:rsidP="008356A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RightHealth</w:t>
            </w:r>
            <w:r w:rsidRPr="008356A6">
              <w:rPr>
                <w:rFonts w:ascii="Arial" w:hAnsi="Arial" w:cs="Arial"/>
                <w:szCs w:val="24"/>
                <w:vertAlign w:val="superscript"/>
              </w:rPr>
              <w:t>®</w:t>
            </w:r>
          </w:p>
          <w:p w:rsidR="00306F6C" w:rsidRPr="00B40279" w:rsidRDefault="0087086C" w:rsidP="008356A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7086C">
              <w:rPr>
                <w:rFonts w:ascii="Arial" w:hAnsi="Arial" w:cs="Arial"/>
                <w:szCs w:val="24"/>
              </w:rPr>
              <w:t>Integuhealth</w:t>
            </w:r>
          </w:p>
          <w:p w:rsidR="00306F6C" w:rsidRPr="008356A6" w:rsidRDefault="0087086C" w:rsidP="008356A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 w:rsidRPr="0087086C">
              <w:rPr>
                <w:rFonts w:ascii="Arial" w:hAnsi="Arial" w:cs="Arial"/>
                <w:szCs w:val="24"/>
              </w:rPr>
              <w:t>Pallation</w:t>
            </w:r>
            <w:r w:rsidR="00306F6C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="00306F6C">
              <w:rPr>
                <w:rFonts w:ascii="Arial" w:hAnsi="Arial" w:cs="Arial"/>
                <w:szCs w:val="24"/>
              </w:rPr>
              <w:t>Choices</w:t>
            </w:r>
          </w:p>
        </w:tc>
      </w:tr>
      <w:tr w:rsidR="008356A6" w:rsidTr="00306F6C">
        <w:trPr>
          <w:cantSplit/>
          <w:trHeight w:val="800"/>
        </w:trPr>
        <w:tc>
          <w:tcPr>
            <w:tcW w:w="3940" w:type="dxa"/>
            <w:vMerge/>
          </w:tcPr>
          <w:p w:rsidR="008356A6" w:rsidRDefault="008356A6" w:rsidP="008356A6">
            <w:pPr>
              <w:pStyle w:val="Heading1"/>
              <w:widowControl w:val="0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before="40" w:after="0"/>
              <w:ind w:left="72"/>
              <w:jc w:val="left"/>
              <w:rPr>
                <w:rFonts w:ascii="Arial" w:hAnsi="Arial"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56A6" w:rsidRPr="008356A6" w:rsidRDefault="008356A6" w:rsidP="008356A6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8356A6">
              <w:rPr>
                <w:rFonts w:ascii="Arial" w:hAnsi="Arial" w:cs="Arial"/>
                <w:b/>
                <w:bCs/>
                <w:szCs w:val="24"/>
              </w:rPr>
              <w:t>Included in the following THA Manual: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56A6" w:rsidRPr="008356A6" w:rsidRDefault="008356A6" w:rsidP="008356A6">
            <w:pPr>
              <w:spacing w:before="40"/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Administrative Policies &amp; Procedures</w:t>
            </w:r>
          </w:p>
          <w:p w:rsidR="008356A6" w:rsidRPr="008356A6" w:rsidRDefault="008356A6" w:rsidP="008356A6">
            <w:pPr>
              <w:spacing w:before="40"/>
              <w:ind w:left="253"/>
              <w:rPr>
                <w:rFonts w:ascii="Arial" w:hAnsi="Arial" w:cs="Arial"/>
                <w:szCs w:val="24"/>
              </w:rPr>
            </w:pPr>
            <w:r w:rsidRPr="008356A6">
              <w:rPr>
                <w:rFonts w:ascii="Arial" w:hAnsi="Arial" w:cs="Arial"/>
                <w:szCs w:val="24"/>
              </w:rPr>
              <w:t>Ethics, Rights, &amp; Responsibilities</w:t>
            </w:r>
          </w:p>
        </w:tc>
      </w:tr>
    </w:tbl>
    <w:p w:rsidR="007314DB" w:rsidRPr="008356A6" w:rsidRDefault="007314DB" w:rsidP="008356A6">
      <w:pPr>
        <w:rPr>
          <w:rFonts w:ascii="Arial" w:hAnsi="Arial" w:cs="Arial"/>
        </w:rPr>
      </w:pPr>
    </w:p>
    <w:p w:rsidR="007314DB" w:rsidRPr="008356A6" w:rsidRDefault="007314DB" w:rsidP="008356A6">
      <w:pPr>
        <w:rPr>
          <w:rFonts w:ascii="Arial" w:hAnsi="Arial" w:cs="Arial"/>
        </w:rPr>
      </w:pPr>
      <w:r w:rsidRPr="008356A6">
        <w:rPr>
          <w:rFonts w:ascii="Arial" w:hAnsi="Arial" w:cs="Arial"/>
          <w:b/>
          <w:u w:val="single"/>
        </w:rPr>
        <w:t>POLICY</w:t>
      </w:r>
    </w:p>
    <w:p w:rsidR="007314DB" w:rsidRPr="008356A6" w:rsidRDefault="007314DB" w:rsidP="008356A6">
      <w:pPr>
        <w:rPr>
          <w:rFonts w:ascii="Arial" w:hAnsi="Arial" w:cs="Arial"/>
        </w:rPr>
      </w:pPr>
    </w:p>
    <w:p w:rsidR="007314DB" w:rsidRPr="008356A6" w:rsidRDefault="00827B5E" w:rsidP="008356A6">
      <w:pPr>
        <w:rPr>
          <w:rFonts w:ascii="Arial" w:hAnsi="Arial" w:cs="Arial"/>
        </w:rPr>
      </w:pPr>
      <w:r w:rsidRPr="008356A6">
        <w:rPr>
          <w:rFonts w:ascii="Arial" w:hAnsi="Arial" w:cs="Arial"/>
        </w:rPr>
        <w:t>T</w:t>
      </w:r>
      <w:r w:rsidR="007314DB" w:rsidRPr="008356A6">
        <w:rPr>
          <w:rFonts w:ascii="Arial" w:hAnsi="Arial" w:cs="Arial"/>
        </w:rPr>
        <w:t>he organization recognize</w:t>
      </w:r>
      <w:r w:rsidRPr="008356A6">
        <w:rPr>
          <w:rFonts w:ascii="Arial" w:hAnsi="Arial" w:cs="Arial"/>
        </w:rPr>
        <w:t>s</w:t>
      </w:r>
      <w:r w:rsidR="007314DB" w:rsidRPr="008356A6">
        <w:rPr>
          <w:rFonts w:ascii="Arial" w:hAnsi="Arial" w:cs="Arial"/>
        </w:rPr>
        <w:t xml:space="preserve"> its responsibility to provide care for any and all clients. The organization also respects the employee’s cultural values, ethical principles, and religious beliefs without compromising the continuity of patient care.</w:t>
      </w:r>
    </w:p>
    <w:p w:rsidR="007314DB" w:rsidRPr="008356A6" w:rsidRDefault="007314DB" w:rsidP="008356A6">
      <w:pPr>
        <w:rPr>
          <w:rFonts w:ascii="Arial" w:hAnsi="Arial" w:cs="Arial"/>
        </w:rPr>
      </w:pPr>
    </w:p>
    <w:p w:rsidR="007314DB" w:rsidRPr="008356A6" w:rsidRDefault="007314DB" w:rsidP="008356A6">
      <w:pPr>
        <w:tabs>
          <w:tab w:val="left" w:pos="-1080"/>
          <w:tab w:val="left" w:pos="-720"/>
          <w:tab w:val="left" w:pos="720"/>
        </w:tabs>
        <w:rPr>
          <w:rFonts w:ascii="Arial" w:hAnsi="Arial" w:cs="Arial"/>
        </w:rPr>
      </w:pPr>
      <w:r w:rsidRPr="008356A6">
        <w:rPr>
          <w:rFonts w:ascii="Arial" w:hAnsi="Arial" w:cs="Arial"/>
          <w:b/>
          <w:u w:val="single"/>
        </w:rPr>
        <w:t>PROCEDURE</w:t>
      </w:r>
    </w:p>
    <w:p w:rsidR="007314DB" w:rsidRPr="008356A6" w:rsidRDefault="007314DB" w:rsidP="008356A6">
      <w:pPr>
        <w:tabs>
          <w:tab w:val="left" w:pos="-1080"/>
          <w:tab w:val="left" w:pos="-720"/>
          <w:tab w:val="left" w:pos="720"/>
        </w:tabs>
        <w:rPr>
          <w:rFonts w:ascii="Arial" w:hAnsi="Arial" w:cs="Arial"/>
        </w:rPr>
      </w:pPr>
    </w:p>
    <w:p w:rsidR="007314DB" w:rsidRPr="008356A6" w:rsidRDefault="00827B5E" w:rsidP="008356A6">
      <w:pPr>
        <w:numPr>
          <w:ilvl w:val="0"/>
          <w:numId w:val="4"/>
        </w:numPr>
        <w:tabs>
          <w:tab w:val="clear" w:pos="720"/>
          <w:tab w:val="left" w:pos="-1080"/>
          <w:tab w:val="left" w:pos="-720"/>
          <w:tab w:val="num" w:pos="360"/>
        </w:tabs>
        <w:ind w:left="360" w:hanging="360"/>
        <w:rPr>
          <w:rFonts w:ascii="Arial" w:hAnsi="Arial" w:cs="Arial"/>
        </w:rPr>
      </w:pPr>
      <w:r w:rsidRPr="008356A6">
        <w:rPr>
          <w:rFonts w:ascii="Arial" w:hAnsi="Arial" w:cs="Arial"/>
        </w:rPr>
        <w:t>At the time of employment, t</w:t>
      </w:r>
      <w:r w:rsidR="007314DB" w:rsidRPr="008356A6">
        <w:rPr>
          <w:rFonts w:ascii="Arial" w:hAnsi="Arial" w:cs="Arial"/>
        </w:rPr>
        <w:t xml:space="preserve">he employee </w:t>
      </w:r>
      <w:r w:rsidRPr="008356A6">
        <w:rPr>
          <w:rFonts w:ascii="Arial" w:hAnsi="Arial" w:cs="Arial"/>
        </w:rPr>
        <w:t xml:space="preserve">is encouraged to </w:t>
      </w:r>
      <w:r w:rsidR="007314DB" w:rsidRPr="008356A6">
        <w:rPr>
          <w:rFonts w:ascii="Arial" w:hAnsi="Arial" w:cs="Arial"/>
        </w:rPr>
        <w:t>notify their super</w:t>
      </w:r>
      <w:r w:rsidRPr="008356A6">
        <w:rPr>
          <w:rFonts w:ascii="Arial" w:hAnsi="Arial" w:cs="Arial"/>
        </w:rPr>
        <w:t xml:space="preserve">visor </w:t>
      </w:r>
      <w:r w:rsidR="007314DB" w:rsidRPr="008356A6">
        <w:rPr>
          <w:rFonts w:ascii="Arial" w:hAnsi="Arial" w:cs="Arial"/>
        </w:rPr>
        <w:t xml:space="preserve">when cultural values, ethical principles, or religious beliefs are in conflict with a specific aspect of patient care. This </w:t>
      </w:r>
      <w:r w:rsidRPr="008356A6">
        <w:rPr>
          <w:rFonts w:ascii="Arial" w:hAnsi="Arial" w:cs="Arial"/>
        </w:rPr>
        <w:t>is</w:t>
      </w:r>
      <w:r w:rsidR="007314DB" w:rsidRPr="008356A6">
        <w:rPr>
          <w:rFonts w:ascii="Arial" w:hAnsi="Arial" w:cs="Arial"/>
        </w:rPr>
        <w:t xml:space="preserve"> documented, dated, and signed by the employee and supervisor and included in the employee’s personnel file. </w:t>
      </w:r>
      <w:r w:rsidRPr="008356A6">
        <w:rPr>
          <w:rFonts w:ascii="Arial" w:hAnsi="Arial" w:cs="Arial"/>
        </w:rPr>
        <w:t>No such request results in punitive action toward the employee.</w:t>
      </w:r>
    </w:p>
    <w:p w:rsidR="007314DB" w:rsidRPr="008356A6" w:rsidRDefault="007314DB" w:rsidP="008356A6">
      <w:pPr>
        <w:tabs>
          <w:tab w:val="left" w:pos="-1080"/>
          <w:tab w:val="left" w:pos="-720"/>
          <w:tab w:val="num" w:pos="360"/>
        </w:tabs>
        <w:ind w:left="360" w:hanging="360"/>
        <w:rPr>
          <w:rFonts w:ascii="Arial" w:hAnsi="Arial" w:cs="Arial"/>
        </w:rPr>
      </w:pPr>
    </w:p>
    <w:p w:rsidR="007314DB" w:rsidRPr="008356A6" w:rsidRDefault="007314DB" w:rsidP="008356A6">
      <w:pPr>
        <w:numPr>
          <w:ilvl w:val="0"/>
          <w:numId w:val="4"/>
        </w:numPr>
        <w:tabs>
          <w:tab w:val="clear" w:pos="720"/>
          <w:tab w:val="left" w:pos="-1080"/>
          <w:tab w:val="left" w:pos="-720"/>
          <w:tab w:val="num" w:pos="360"/>
        </w:tabs>
        <w:ind w:left="360" w:hanging="360"/>
        <w:rPr>
          <w:rFonts w:ascii="Arial" w:hAnsi="Arial" w:cs="Arial"/>
        </w:rPr>
      </w:pPr>
      <w:r w:rsidRPr="008356A6">
        <w:rPr>
          <w:rFonts w:ascii="Arial" w:hAnsi="Arial" w:cs="Arial"/>
        </w:rPr>
        <w:t>The supervisor make</w:t>
      </w:r>
      <w:r w:rsidR="00827B5E" w:rsidRPr="008356A6">
        <w:rPr>
          <w:rFonts w:ascii="Arial" w:hAnsi="Arial" w:cs="Arial"/>
        </w:rPr>
        <w:t>s</w:t>
      </w:r>
      <w:r w:rsidRPr="008356A6">
        <w:rPr>
          <w:rFonts w:ascii="Arial" w:hAnsi="Arial" w:cs="Arial"/>
        </w:rPr>
        <w:t xml:space="preserve"> every attempt to honor or regard the employee’s cultural values, ethical principles, and/or religious beliefs while, at the same time, ensuring that the patient’s care is not compromised. </w:t>
      </w:r>
      <w:r w:rsidR="00827B5E" w:rsidRPr="008356A6">
        <w:rPr>
          <w:rFonts w:ascii="Arial" w:hAnsi="Arial" w:cs="Arial"/>
        </w:rPr>
        <w:t>When at all possible, t</w:t>
      </w:r>
      <w:r w:rsidRPr="008356A6">
        <w:rPr>
          <w:rFonts w:ascii="Arial" w:hAnsi="Arial" w:cs="Arial"/>
        </w:rPr>
        <w:t>he supervisor will assign another competent caregiver to the particular task or aspect of patient care.</w:t>
      </w:r>
    </w:p>
    <w:p w:rsidR="007314DB" w:rsidRPr="008356A6" w:rsidRDefault="007314DB" w:rsidP="008356A6">
      <w:pPr>
        <w:tabs>
          <w:tab w:val="left" w:pos="-1080"/>
          <w:tab w:val="left" w:pos="-720"/>
        </w:tabs>
        <w:rPr>
          <w:rFonts w:ascii="Arial" w:hAnsi="Arial" w:cs="Arial"/>
        </w:rPr>
      </w:pPr>
    </w:p>
    <w:p w:rsidR="007314DB" w:rsidRPr="008356A6" w:rsidRDefault="007314DB" w:rsidP="008356A6">
      <w:pPr>
        <w:numPr>
          <w:ilvl w:val="0"/>
          <w:numId w:val="4"/>
        </w:numPr>
        <w:tabs>
          <w:tab w:val="clear" w:pos="720"/>
          <w:tab w:val="left" w:pos="-1080"/>
          <w:tab w:val="left" w:pos="-720"/>
          <w:tab w:val="num" w:pos="360"/>
        </w:tabs>
        <w:ind w:left="360" w:hanging="360"/>
        <w:rPr>
          <w:rFonts w:ascii="Arial" w:hAnsi="Arial" w:cs="Arial"/>
        </w:rPr>
      </w:pPr>
      <w:r w:rsidRPr="008356A6">
        <w:rPr>
          <w:rFonts w:ascii="Arial" w:hAnsi="Arial" w:cs="Arial"/>
        </w:rPr>
        <w:t>The employee’s supervisor and the</w:t>
      </w:r>
      <w:r w:rsidR="00726539">
        <w:rPr>
          <w:rFonts w:ascii="Arial" w:hAnsi="Arial" w:cs="Arial"/>
        </w:rPr>
        <w:t xml:space="preserve"> </w:t>
      </w:r>
      <w:r w:rsidR="001C4B0C" w:rsidRPr="008356A6">
        <w:rPr>
          <w:rFonts w:ascii="Arial" w:hAnsi="Arial" w:cs="Arial"/>
        </w:rPr>
        <w:t>VP</w:t>
      </w:r>
      <w:r w:rsidR="008356A6">
        <w:rPr>
          <w:rFonts w:ascii="Arial" w:hAnsi="Arial" w:cs="Arial"/>
        </w:rPr>
        <w:t xml:space="preserve"> </w:t>
      </w:r>
      <w:r w:rsidR="00C51791" w:rsidRPr="008356A6">
        <w:rPr>
          <w:rFonts w:ascii="Arial" w:hAnsi="Arial" w:cs="Arial"/>
        </w:rPr>
        <w:t>of</w:t>
      </w:r>
      <w:r w:rsidR="001C4B0C" w:rsidRPr="008356A6">
        <w:rPr>
          <w:rFonts w:ascii="Arial" w:hAnsi="Arial" w:cs="Arial"/>
        </w:rPr>
        <w:t xml:space="preserve"> Talent Management </w:t>
      </w:r>
      <w:r w:rsidRPr="008356A6">
        <w:rPr>
          <w:rFonts w:ascii="Arial" w:hAnsi="Arial" w:cs="Arial"/>
        </w:rPr>
        <w:t xml:space="preserve">collaborate to resolve any conflicts that arise due to an employee’s request not to participate in the care of a patient or when the employee’s cultural values, ethical principles, or religious beliefs prevent the employee from providing needed services.     </w:t>
      </w:r>
    </w:p>
    <w:p w:rsidR="00827B5E" w:rsidRPr="008356A6" w:rsidRDefault="00827B5E" w:rsidP="008356A6">
      <w:pPr>
        <w:tabs>
          <w:tab w:val="left" w:pos="-1080"/>
          <w:tab w:val="left" w:pos="-720"/>
        </w:tabs>
        <w:rPr>
          <w:rFonts w:ascii="Arial" w:hAnsi="Arial" w:cs="Arial"/>
        </w:rPr>
      </w:pPr>
    </w:p>
    <w:p w:rsidR="007314DB" w:rsidRPr="008356A6" w:rsidRDefault="007314DB" w:rsidP="008356A6">
      <w:pPr>
        <w:tabs>
          <w:tab w:val="left" w:pos="-1080"/>
          <w:tab w:val="left" w:pos="-720"/>
          <w:tab w:val="left" w:pos="720"/>
        </w:tabs>
        <w:rPr>
          <w:rFonts w:ascii="Arial" w:hAnsi="Arial" w:cs="Arial"/>
        </w:rPr>
      </w:pPr>
    </w:p>
    <w:sectPr w:rsidR="007314DB" w:rsidRPr="008356A6" w:rsidSect="00835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6C" w:rsidRDefault="00306F6C">
      <w:r>
        <w:separator/>
      </w:r>
    </w:p>
  </w:endnote>
  <w:endnote w:type="continuationSeparator" w:id="0">
    <w:p w:rsidR="00306F6C" w:rsidRDefault="0030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B" w:rsidRDefault="00D70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6C" w:rsidRPr="00AE78EB" w:rsidRDefault="00AE78EB">
    <w:pPr>
      <w:pStyle w:val="Footer"/>
      <w:rPr>
        <w:rFonts w:ascii="Arial" w:hAnsi="Arial" w:cs="Arial"/>
        <w:sz w:val="16"/>
        <w:szCs w:val="16"/>
      </w:rPr>
    </w:pPr>
    <w:proofErr w:type="spellStart"/>
    <w:r w:rsidRPr="00AE78EB">
      <w:rPr>
        <w:sz w:val="16"/>
        <w:szCs w:val="16"/>
      </w:rPr>
      <w:t>G:\Policy</w:t>
    </w:r>
    <w:proofErr w:type="spellEnd"/>
    <w:r w:rsidRPr="00AE78EB">
      <w:rPr>
        <w:sz w:val="16"/>
        <w:szCs w:val="16"/>
      </w:rPr>
      <w:t xml:space="preserve"> and P</w:t>
    </w:r>
    <w:r>
      <w:rPr>
        <w:sz w:val="16"/>
        <w:szCs w:val="16"/>
      </w:rPr>
      <w:t>rocedure 2018\Administrative Policy and Procedure Manual\Ethics, Rights, &amp; Responsibilities\Cultural Values, Ethical Principles &amp; Religious Beliefs.doc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B" w:rsidRDefault="00D70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6C" w:rsidRDefault="00306F6C">
      <w:r>
        <w:separator/>
      </w:r>
    </w:p>
  </w:footnote>
  <w:footnote w:type="continuationSeparator" w:id="0">
    <w:p w:rsidR="00306F6C" w:rsidRDefault="0030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B" w:rsidRDefault="00D70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B" w:rsidRDefault="00D70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4B" w:rsidRDefault="00D70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FE02F6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C73EAC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1368AA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F9175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84342"/>
    <w:rsid w:val="00055C74"/>
    <w:rsid w:val="00055CF0"/>
    <w:rsid w:val="000E2C4A"/>
    <w:rsid w:val="00113530"/>
    <w:rsid w:val="001B1073"/>
    <w:rsid w:val="001C4B0C"/>
    <w:rsid w:val="001F12D3"/>
    <w:rsid w:val="00306F6C"/>
    <w:rsid w:val="003725FB"/>
    <w:rsid w:val="003C6A36"/>
    <w:rsid w:val="00404A8C"/>
    <w:rsid w:val="004E561E"/>
    <w:rsid w:val="005855DC"/>
    <w:rsid w:val="005D3CFC"/>
    <w:rsid w:val="005F2748"/>
    <w:rsid w:val="00612809"/>
    <w:rsid w:val="00616577"/>
    <w:rsid w:val="00726539"/>
    <w:rsid w:val="007314DB"/>
    <w:rsid w:val="007627C3"/>
    <w:rsid w:val="00775DCB"/>
    <w:rsid w:val="007A7A87"/>
    <w:rsid w:val="00814D42"/>
    <w:rsid w:val="00827B5E"/>
    <w:rsid w:val="008356A6"/>
    <w:rsid w:val="00844073"/>
    <w:rsid w:val="0087086C"/>
    <w:rsid w:val="008A09B0"/>
    <w:rsid w:val="008F2083"/>
    <w:rsid w:val="00901E60"/>
    <w:rsid w:val="00A81E61"/>
    <w:rsid w:val="00AA5476"/>
    <w:rsid w:val="00AE78EB"/>
    <w:rsid w:val="00B01939"/>
    <w:rsid w:val="00B40279"/>
    <w:rsid w:val="00B84342"/>
    <w:rsid w:val="00C51791"/>
    <w:rsid w:val="00C80083"/>
    <w:rsid w:val="00CB005C"/>
    <w:rsid w:val="00CC192D"/>
    <w:rsid w:val="00D06F51"/>
    <w:rsid w:val="00D70C4B"/>
    <w:rsid w:val="00DB0FF3"/>
    <w:rsid w:val="00DD7A6C"/>
    <w:rsid w:val="00E91537"/>
    <w:rsid w:val="00EB7C30"/>
    <w:rsid w:val="00EF1039"/>
    <w:rsid w:val="00F035AB"/>
    <w:rsid w:val="00F3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93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01939"/>
    <w:pPr>
      <w:keepNext/>
      <w:widowControl/>
      <w:tabs>
        <w:tab w:val="center" w:pos="1950"/>
      </w:tabs>
      <w:spacing w:after="58"/>
      <w:jc w:val="center"/>
      <w:outlineLvl w:val="0"/>
    </w:pPr>
    <w:rPr>
      <w:rFonts w:ascii="Garamond" w:hAnsi="Garamond"/>
      <w:b/>
      <w:snapToGrid/>
    </w:rPr>
  </w:style>
  <w:style w:type="paragraph" w:styleId="Heading2">
    <w:name w:val="heading 2"/>
    <w:basedOn w:val="Normal"/>
    <w:next w:val="Normal"/>
    <w:qFormat/>
    <w:rsid w:val="00B01939"/>
    <w:pPr>
      <w:keepNext/>
      <w:ind w:left="-118"/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B01939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1939"/>
  </w:style>
  <w:style w:type="paragraph" w:styleId="BodyText">
    <w:name w:val="Body Text"/>
    <w:basedOn w:val="Normal"/>
    <w:rsid w:val="00B01939"/>
    <w:pPr>
      <w:tabs>
        <w:tab w:val="left" w:pos="-1080"/>
        <w:tab w:val="left" w:pos="-720"/>
        <w:tab w:val="left" w:pos="720"/>
      </w:tabs>
      <w:jc w:val="both"/>
    </w:pPr>
    <w:rPr>
      <w:rFonts w:ascii="Book Antiqua" w:hAnsi="Book Antiqua"/>
    </w:rPr>
  </w:style>
  <w:style w:type="paragraph" w:styleId="Header">
    <w:name w:val="header"/>
    <w:basedOn w:val="Normal"/>
    <w:rsid w:val="00B01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1939"/>
  </w:style>
  <w:style w:type="paragraph" w:customStyle="1" w:styleId="PPTitle">
    <w:name w:val="P&amp;PTitle"/>
    <w:basedOn w:val="Heading1"/>
    <w:rsid w:val="00B01939"/>
    <w:pPr>
      <w:tabs>
        <w:tab w:val="clear" w:pos="1950"/>
        <w:tab w:val="left" w:pos="-1080"/>
        <w:tab w:val="left" w:pos="-720"/>
        <w:tab w:val="left" w:pos="-90"/>
        <w:tab w:val="left" w:pos="720"/>
      </w:tabs>
      <w:spacing w:after="0"/>
    </w:pPr>
    <w:rPr>
      <w:rFonts w:ascii="Verdana" w:hAnsi="Verdana"/>
      <w:snapToGrid w:val="0"/>
      <w:sz w:val="28"/>
    </w:rPr>
  </w:style>
  <w:style w:type="paragraph" w:customStyle="1" w:styleId="HeaderSection">
    <w:name w:val="HeaderSection"/>
    <w:basedOn w:val="Normal"/>
    <w:autoRedefine/>
    <w:rsid w:val="00B01939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alloonText">
    <w:name w:val="Balloon Text"/>
    <w:basedOn w:val="Normal"/>
    <w:link w:val="BalloonTextChar"/>
    <w:rsid w:val="00055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5CF0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Jerry Eastridge</dc:creator>
  <cp:lastModifiedBy>cwilliams</cp:lastModifiedBy>
  <cp:revision>2</cp:revision>
  <cp:lastPrinted>2018-06-11T20:29:00Z</cp:lastPrinted>
  <dcterms:created xsi:type="dcterms:W3CDTF">2018-06-11T20:29:00Z</dcterms:created>
  <dcterms:modified xsi:type="dcterms:W3CDTF">2018-06-11T20:29:00Z</dcterms:modified>
</cp:coreProperties>
</file>