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09"/>
        <w:gridCol w:w="2701"/>
        <w:gridCol w:w="4220"/>
      </w:tblGrid>
      <w:tr w:rsidR="00E251E8" w:rsidRPr="00576E7A"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576E7A" w:rsidRDefault="00E26E86" w:rsidP="000428EA">
            <w:pPr>
              <w:pStyle w:val="Heading3"/>
              <w:rPr>
                <w:sz w:val="22"/>
                <w:szCs w:val="22"/>
              </w:rPr>
            </w:pPr>
            <w:r w:rsidRPr="00E26E86">
              <w:rPr>
                <w:bCs w:val="0"/>
                <w:snapToGrid w:val="0"/>
                <w:sz w:val="22"/>
                <w:szCs w:val="22"/>
              </w:rPr>
              <w:t xml:space="preserve">Continuing Education (CEU) Reimbursement </w:t>
            </w:r>
          </w:p>
        </w:tc>
        <w:tc>
          <w:tcPr>
            <w:tcW w:w="2880" w:type="dxa"/>
            <w:tcBorders>
              <w:top w:val="single" w:sz="4" w:space="0" w:color="auto"/>
              <w:left w:val="single" w:sz="4" w:space="0" w:color="auto"/>
              <w:bottom w:val="single" w:sz="4" w:space="0" w:color="auto"/>
              <w:right w:val="nil"/>
            </w:tcBorders>
          </w:tcPr>
          <w:p w:rsidR="000F0A01" w:rsidRPr="00576E7A" w:rsidRDefault="00E26E86" w:rsidP="000428EA">
            <w:pPr>
              <w:snapToGrid w:val="0"/>
              <w:spacing w:before="60" w:after="60"/>
              <w:rPr>
                <w:b/>
                <w:bCs/>
                <w:sz w:val="22"/>
                <w:szCs w:val="22"/>
              </w:rPr>
            </w:pPr>
            <w:r w:rsidRPr="00E26E86">
              <w:rPr>
                <w:b/>
                <w:bCs/>
                <w:sz w:val="22"/>
                <w:szCs w:val="22"/>
              </w:rPr>
              <w:t>Last Revision:</w:t>
            </w:r>
          </w:p>
        </w:tc>
        <w:tc>
          <w:tcPr>
            <w:tcW w:w="4562" w:type="dxa"/>
            <w:tcBorders>
              <w:top w:val="single" w:sz="4" w:space="0" w:color="auto"/>
              <w:left w:val="nil"/>
              <w:bottom w:val="single" w:sz="4" w:space="0" w:color="auto"/>
              <w:right w:val="single" w:sz="4" w:space="0" w:color="auto"/>
            </w:tcBorders>
          </w:tcPr>
          <w:p w:rsidR="000F0A01" w:rsidRPr="00576E7A" w:rsidRDefault="00E26E86" w:rsidP="000428EA">
            <w:pPr>
              <w:snapToGrid w:val="0"/>
              <w:spacing w:before="60" w:after="60"/>
              <w:rPr>
                <w:sz w:val="22"/>
                <w:szCs w:val="22"/>
              </w:rPr>
            </w:pPr>
            <w:r w:rsidRPr="00E26E86">
              <w:rPr>
                <w:sz w:val="22"/>
                <w:szCs w:val="22"/>
              </w:rPr>
              <w:t>April 2018</w:t>
            </w:r>
          </w:p>
        </w:tc>
      </w:tr>
      <w:tr w:rsidR="005F0286" w:rsidRPr="00576E7A" w:rsidTr="00E251E8">
        <w:trPr>
          <w:cantSplit/>
          <w:trHeight w:val="191"/>
        </w:trPr>
        <w:tc>
          <w:tcPr>
            <w:tcW w:w="4320" w:type="dxa"/>
            <w:vMerge/>
            <w:tcBorders>
              <w:left w:val="single" w:sz="4" w:space="0" w:color="auto"/>
              <w:right w:val="single" w:sz="4" w:space="0" w:color="auto"/>
            </w:tcBorders>
            <w:vAlign w:val="center"/>
          </w:tcPr>
          <w:p w:rsidR="00E251E8" w:rsidRPr="00576E7A" w:rsidRDefault="00E251E8" w:rsidP="000428EA">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576E7A" w:rsidRDefault="00E26E86" w:rsidP="000428EA">
            <w:pPr>
              <w:snapToGrid w:val="0"/>
              <w:spacing w:before="60" w:after="60"/>
              <w:rPr>
                <w:b/>
                <w:bCs/>
                <w:sz w:val="22"/>
                <w:szCs w:val="22"/>
              </w:rPr>
            </w:pPr>
            <w:r w:rsidRPr="00E26E86">
              <w:rPr>
                <w:b/>
                <w:bCs/>
                <w:sz w:val="22"/>
                <w:szCs w:val="22"/>
              </w:rPr>
              <w:t>Last Reviewed:</w:t>
            </w:r>
          </w:p>
        </w:tc>
        <w:tc>
          <w:tcPr>
            <w:tcW w:w="4562" w:type="dxa"/>
            <w:tcBorders>
              <w:top w:val="single" w:sz="4" w:space="0" w:color="auto"/>
              <w:left w:val="nil"/>
              <w:bottom w:val="single" w:sz="4" w:space="0" w:color="auto"/>
              <w:right w:val="single" w:sz="4" w:space="0" w:color="auto"/>
            </w:tcBorders>
          </w:tcPr>
          <w:p w:rsidR="000F0A01" w:rsidRPr="00576E7A" w:rsidRDefault="00E26E86" w:rsidP="000428EA">
            <w:pPr>
              <w:autoSpaceDE/>
              <w:autoSpaceDN/>
              <w:adjustRightInd/>
              <w:snapToGrid w:val="0"/>
              <w:spacing w:before="60" w:after="60"/>
              <w:rPr>
                <w:sz w:val="22"/>
                <w:szCs w:val="22"/>
              </w:rPr>
            </w:pPr>
            <w:r w:rsidRPr="00E26E86">
              <w:rPr>
                <w:sz w:val="22"/>
                <w:szCs w:val="22"/>
              </w:rPr>
              <w:t>April 2018</w:t>
            </w:r>
          </w:p>
        </w:tc>
      </w:tr>
      <w:tr w:rsidR="00E251E8" w:rsidRPr="00576E7A" w:rsidTr="00E251E8">
        <w:trPr>
          <w:cantSplit/>
          <w:trHeight w:val="191"/>
        </w:trPr>
        <w:tc>
          <w:tcPr>
            <w:tcW w:w="4320" w:type="dxa"/>
            <w:vMerge/>
            <w:tcBorders>
              <w:left w:val="single" w:sz="4" w:space="0" w:color="auto"/>
              <w:right w:val="single" w:sz="4" w:space="0" w:color="auto"/>
            </w:tcBorders>
            <w:vAlign w:val="center"/>
          </w:tcPr>
          <w:p w:rsidR="004850C2" w:rsidRPr="00576E7A" w:rsidRDefault="004850C2" w:rsidP="000428EA">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576E7A" w:rsidRDefault="00E26E86" w:rsidP="000428EA">
            <w:pPr>
              <w:snapToGrid w:val="0"/>
              <w:spacing w:before="60" w:after="60"/>
              <w:rPr>
                <w:b/>
                <w:bCs/>
                <w:sz w:val="22"/>
                <w:szCs w:val="22"/>
              </w:rPr>
            </w:pPr>
            <w:r w:rsidRPr="00E26E86">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576E7A" w:rsidRDefault="00E26E86" w:rsidP="000428EA">
            <w:pPr>
              <w:numPr>
                <w:ilvl w:val="0"/>
                <w:numId w:val="2"/>
              </w:numPr>
              <w:autoSpaceDE/>
              <w:autoSpaceDN/>
              <w:adjustRightInd/>
              <w:snapToGrid w:val="0"/>
              <w:spacing w:before="20" w:after="20"/>
              <w:rPr>
                <w:sz w:val="22"/>
                <w:szCs w:val="22"/>
              </w:rPr>
            </w:pPr>
            <w:r w:rsidRPr="00E26E86">
              <w:rPr>
                <w:sz w:val="22"/>
                <w:szCs w:val="22"/>
              </w:rPr>
              <w:t>Island Health Care</w:t>
            </w:r>
          </w:p>
          <w:p w:rsidR="001E18E3" w:rsidRPr="00576E7A" w:rsidRDefault="00E26E86" w:rsidP="00C75D10">
            <w:pPr>
              <w:numPr>
                <w:ilvl w:val="0"/>
                <w:numId w:val="2"/>
              </w:numPr>
              <w:autoSpaceDE/>
              <w:autoSpaceDN/>
              <w:adjustRightInd/>
              <w:snapToGrid w:val="0"/>
              <w:spacing w:before="20" w:after="20"/>
              <w:rPr>
                <w:sz w:val="22"/>
                <w:szCs w:val="22"/>
              </w:rPr>
            </w:pPr>
            <w:r w:rsidRPr="00E26E86">
              <w:rPr>
                <w:sz w:val="22"/>
                <w:szCs w:val="22"/>
              </w:rPr>
              <w:t>Island Hospice</w:t>
            </w:r>
          </w:p>
          <w:p w:rsidR="00A3708A" w:rsidRPr="00576E7A" w:rsidRDefault="00E26E86" w:rsidP="00A3708A">
            <w:pPr>
              <w:numPr>
                <w:ilvl w:val="0"/>
                <w:numId w:val="2"/>
              </w:numPr>
              <w:autoSpaceDE/>
              <w:autoSpaceDN/>
              <w:adjustRightInd/>
              <w:snapToGrid w:val="0"/>
              <w:spacing w:before="20" w:after="20"/>
              <w:rPr>
                <w:sz w:val="22"/>
                <w:szCs w:val="22"/>
              </w:rPr>
            </w:pPr>
            <w:r w:rsidRPr="00E26E86">
              <w:rPr>
                <w:sz w:val="22"/>
                <w:szCs w:val="22"/>
              </w:rPr>
              <w:t>RightHealth</w:t>
            </w:r>
            <w:r w:rsidRPr="00E26E86">
              <w:rPr>
                <w:sz w:val="22"/>
                <w:szCs w:val="22"/>
                <w:vertAlign w:val="superscript"/>
              </w:rPr>
              <w:t>®</w:t>
            </w:r>
          </w:p>
          <w:p w:rsidR="00B4436E" w:rsidRPr="00576E7A" w:rsidRDefault="00E26E86" w:rsidP="000428EA">
            <w:pPr>
              <w:numPr>
                <w:ilvl w:val="0"/>
                <w:numId w:val="2"/>
              </w:numPr>
              <w:autoSpaceDE/>
              <w:autoSpaceDN/>
              <w:adjustRightInd/>
              <w:snapToGrid w:val="0"/>
              <w:spacing w:before="60" w:after="60"/>
              <w:rPr>
                <w:sz w:val="22"/>
                <w:szCs w:val="22"/>
              </w:rPr>
            </w:pPr>
            <w:r w:rsidRPr="00E26E86">
              <w:rPr>
                <w:sz w:val="22"/>
                <w:szCs w:val="22"/>
              </w:rPr>
              <w:t>THA Services</w:t>
            </w:r>
          </w:p>
          <w:p w:rsidR="00A3708A" w:rsidRPr="00576E7A" w:rsidRDefault="00E26E86" w:rsidP="000428EA">
            <w:pPr>
              <w:numPr>
                <w:ilvl w:val="0"/>
                <w:numId w:val="2"/>
              </w:numPr>
              <w:autoSpaceDE/>
              <w:autoSpaceDN/>
              <w:adjustRightInd/>
              <w:snapToGrid w:val="0"/>
              <w:spacing w:before="60" w:after="60"/>
              <w:rPr>
                <w:sz w:val="22"/>
                <w:szCs w:val="22"/>
              </w:rPr>
            </w:pPr>
            <w:r w:rsidRPr="00E26E86">
              <w:rPr>
                <w:sz w:val="22"/>
                <w:szCs w:val="22"/>
              </w:rPr>
              <w:t>Palliation Choices</w:t>
            </w:r>
          </w:p>
          <w:p w:rsidR="00A3708A" w:rsidRPr="00576E7A" w:rsidRDefault="00E26E86" w:rsidP="000428EA">
            <w:pPr>
              <w:numPr>
                <w:ilvl w:val="0"/>
                <w:numId w:val="2"/>
              </w:numPr>
              <w:autoSpaceDE/>
              <w:autoSpaceDN/>
              <w:adjustRightInd/>
              <w:snapToGrid w:val="0"/>
              <w:spacing w:before="60" w:after="60"/>
              <w:rPr>
                <w:sz w:val="22"/>
                <w:szCs w:val="22"/>
              </w:rPr>
            </w:pPr>
            <w:r w:rsidRPr="00E26E86">
              <w:rPr>
                <w:sz w:val="22"/>
                <w:szCs w:val="22"/>
              </w:rPr>
              <w:t>InteguHealth</w:t>
            </w:r>
          </w:p>
          <w:p w:rsidR="00A3708A" w:rsidRPr="00576E7A" w:rsidRDefault="00E26E86" w:rsidP="000428EA">
            <w:pPr>
              <w:numPr>
                <w:ilvl w:val="0"/>
                <w:numId w:val="2"/>
              </w:numPr>
              <w:autoSpaceDE/>
              <w:autoSpaceDN/>
              <w:adjustRightInd/>
              <w:snapToGrid w:val="0"/>
              <w:spacing w:before="60" w:after="60"/>
              <w:rPr>
                <w:sz w:val="22"/>
                <w:szCs w:val="22"/>
              </w:rPr>
            </w:pPr>
            <w:r w:rsidRPr="00E26E86">
              <w:rPr>
                <w:sz w:val="22"/>
                <w:szCs w:val="22"/>
              </w:rPr>
              <w:t>RightHealth Clinic</w:t>
            </w:r>
          </w:p>
        </w:tc>
      </w:tr>
      <w:tr w:rsidR="00E251E8" w:rsidRPr="00576E7A"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576E7A" w:rsidRDefault="004850C2" w:rsidP="000428EA">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576E7A" w:rsidRDefault="00E26E86" w:rsidP="000428EA">
            <w:pPr>
              <w:snapToGrid w:val="0"/>
              <w:spacing w:before="60" w:after="60"/>
              <w:rPr>
                <w:b/>
                <w:bCs/>
                <w:sz w:val="22"/>
                <w:szCs w:val="22"/>
              </w:rPr>
            </w:pPr>
            <w:r w:rsidRPr="00E26E86">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576E7A" w:rsidRDefault="00E26E86" w:rsidP="000428EA">
            <w:pPr>
              <w:autoSpaceDE/>
              <w:autoSpaceDN/>
              <w:adjustRightInd/>
              <w:spacing w:before="60" w:after="60"/>
              <w:rPr>
                <w:sz w:val="22"/>
                <w:szCs w:val="22"/>
              </w:rPr>
            </w:pPr>
            <w:r w:rsidRPr="00E26E86">
              <w:rPr>
                <w:sz w:val="22"/>
                <w:szCs w:val="22"/>
              </w:rPr>
              <w:t>Administrative Policies &amp; Procedures</w:t>
            </w:r>
          </w:p>
          <w:p w:rsidR="000F0A01" w:rsidRPr="00576E7A" w:rsidRDefault="00E26E86" w:rsidP="000428EA">
            <w:pPr>
              <w:snapToGrid w:val="0"/>
              <w:spacing w:before="60" w:after="60"/>
              <w:ind w:left="377"/>
              <w:rPr>
                <w:sz w:val="22"/>
                <w:szCs w:val="22"/>
              </w:rPr>
            </w:pPr>
            <w:r w:rsidRPr="00E26E86">
              <w:rPr>
                <w:sz w:val="22"/>
                <w:szCs w:val="22"/>
              </w:rPr>
              <w:t>Talent Management</w:t>
            </w:r>
          </w:p>
        </w:tc>
      </w:tr>
    </w:tbl>
    <w:p w:rsidR="008B6B31" w:rsidRPr="00576E7A" w:rsidRDefault="008B6B31" w:rsidP="000428EA">
      <w:pPr>
        <w:pStyle w:val="Heading3"/>
        <w:spacing w:before="0" w:after="0"/>
        <w:rPr>
          <w:sz w:val="22"/>
          <w:szCs w:val="22"/>
          <w:u w:val="single"/>
        </w:rPr>
      </w:pPr>
    </w:p>
    <w:p w:rsidR="008B6B31" w:rsidRPr="00576E7A" w:rsidRDefault="00E26E86" w:rsidP="000428EA">
      <w:pPr>
        <w:pStyle w:val="Heading3"/>
        <w:spacing w:before="0" w:after="0"/>
        <w:rPr>
          <w:sz w:val="22"/>
          <w:szCs w:val="22"/>
          <w:u w:val="single"/>
        </w:rPr>
      </w:pPr>
      <w:r w:rsidRPr="00E26E86">
        <w:rPr>
          <w:sz w:val="22"/>
          <w:szCs w:val="22"/>
          <w:u w:val="single"/>
        </w:rPr>
        <w:t>PURPOSE</w:t>
      </w:r>
    </w:p>
    <w:p w:rsidR="008B6B31" w:rsidRPr="00576E7A" w:rsidRDefault="008B6B31" w:rsidP="000428EA">
      <w:pPr>
        <w:rPr>
          <w:sz w:val="22"/>
          <w:szCs w:val="22"/>
        </w:rPr>
      </w:pPr>
    </w:p>
    <w:p w:rsidR="008A074D" w:rsidRPr="00576E7A" w:rsidRDefault="00E26E86" w:rsidP="000428EA">
      <w:pPr>
        <w:rPr>
          <w:sz w:val="22"/>
          <w:szCs w:val="22"/>
        </w:rPr>
      </w:pPr>
      <w:r w:rsidRPr="00E26E86">
        <w:rPr>
          <w:sz w:val="22"/>
          <w:szCs w:val="22"/>
        </w:rPr>
        <w:t>To support employees who wish to develop skills and knowledge that will be of mutual benefit to both the employee and the Company, the Company will provide financial assistance to active full-time and part-time employees for Continuing Education expenses.</w:t>
      </w:r>
    </w:p>
    <w:p w:rsidR="008B6B31" w:rsidRPr="00576E7A" w:rsidRDefault="008B6B31" w:rsidP="000428EA">
      <w:pPr>
        <w:rPr>
          <w:sz w:val="22"/>
          <w:szCs w:val="22"/>
        </w:rPr>
      </w:pPr>
    </w:p>
    <w:p w:rsidR="008B6B31" w:rsidRPr="00576E7A" w:rsidRDefault="00E26E86" w:rsidP="000428EA">
      <w:pPr>
        <w:pStyle w:val="Heading3"/>
        <w:spacing w:before="0" w:after="0"/>
        <w:rPr>
          <w:iCs/>
          <w:sz w:val="22"/>
          <w:szCs w:val="22"/>
          <w:u w:val="single"/>
        </w:rPr>
      </w:pPr>
      <w:r w:rsidRPr="00E26E86">
        <w:rPr>
          <w:sz w:val="22"/>
          <w:szCs w:val="22"/>
          <w:u w:val="single"/>
        </w:rPr>
        <w:t>POLICY</w:t>
      </w:r>
    </w:p>
    <w:p w:rsidR="008B6B31" w:rsidRPr="00576E7A" w:rsidRDefault="008B6B31" w:rsidP="000428EA">
      <w:pPr>
        <w:rPr>
          <w:sz w:val="22"/>
          <w:szCs w:val="22"/>
        </w:rPr>
      </w:pPr>
    </w:p>
    <w:p w:rsidR="00657ACC" w:rsidRPr="00576E7A" w:rsidRDefault="00E26E86" w:rsidP="000428EA">
      <w:pPr>
        <w:rPr>
          <w:sz w:val="22"/>
          <w:szCs w:val="22"/>
        </w:rPr>
      </w:pPr>
      <w:r w:rsidRPr="00E26E86">
        <w:rPr>
          <w:sz w:val="22"/>
          <w:szCs w:val="22"/>
        </w:rPr>
        <w:t>This policy applies to all full-time and part-time employees who are required to complete continuing education to retain license or certification.</w:t>
      </w:r>
    </w:p>
    <w:p w:rsidR="00657ACC" w:rsidRPr="00576E7A" w:rsidRDefault="00657ACC" w:rsidP="000428EA">
      <w:pPr>
        <w:rPr>
          <w:sz w:val="22"/>
          <w:szCs w:val="22"/>
        </w:rPr>
      </w:pPr>
    </w:p>
    <w:p w:rsidR="00417594" w:rsidRPr="00576E7A" w:rsidRDefault="00E26E86" w:rsidP="000428EA">
      <w:pPr>
        <w:pStyle w:val="NormalWeb"/>
        <w:spacing w:after="0"/>
        <w:rPr>
          <w:rFonts w:ascii="Arial" w:hAnsi="Arial" w:cs="Arial"/>
          <w:sz w:val="22"/>
          <w:szCs w:val="22"/>
        </w:rPr>
      </w:pPr>
      <w:r w:rsidRPr="00E26E86">
        <w:rPr>
          <w:rFonts w:ascii="Arial" w:hAnsi="Arial" w:cs="Arial"/>
          <w:sz w:val="22"/>
          <w:szCs w:val="22"/>
        </w:rPr>
        <w:t>Approved expenses for course certification fees, associated with job-related courses and necessary for job-related certification, will be covered.</w:t>
      </w:r>
    </w:p>
    <w:p w:rsidR="000428EA" w:rsidRPr="00576E7A" w:rsidRDefault="000428EA" w:rsidP="000428EA">
      <w:pPr>
        <w:pStyle w:val="NormalWeb"/>
        <w:spacing w:after="0"/>
        <w:rPr>
          <w:rFonts w:ascii="Arial" w:hAnsi="Arial" w:cs="Arial"/>
          <w:sz w:val="22"/>
          <w:szCs w:val="22"/>
        </w:rPr>
      </w:pPr>
    </w:p>
    <w:p w:rsidR="00417594" w:rsidRPr="00576E7A" w:rsidRDefault="00E26E86" w:rsidP="000428EA">
      <w:pPr>
        <w:pStyle w:val="NormalWeb"/>
        <w:spacing w:after="0"/>
        <w:rPr>
          <w:rFonts w:ascii="Arial" w:hAnsi="Arial" w:cs="Arial"/>
          <w:sz w:val="22"/>
          <w:szCs w:val="22"/>
        </w:rPr>
      </w:pPr>
      <w:r w:rsidRPr="00E26E86">
        <w:rPr>
          <w:rFonts w:ascii="Arial" w:hAnsi="Arial" w:cs="Arial"/>
          <w:sz w:val="22"/>
          <w:szCs w:val="22"/>
        </w:rPr>
        <w:t>Equipment, lodging, transportation expenses, optional fees, supplies, parking, application fees, entrance exam fees and fees for retakes of courses are not covered by this policy and are the responsibility of the employee.</w:t>
      </w:r>
    </w:p>
    <w:p w:rsidR="000428EA" w:rsidRPr="00576E7A" w:rsidRDefault="000428EA" w:rsidP="000428EA">
      <w:pPr>
        <w:pStyle w:val="NormalWeb"/>
        <w:spacing w:after="0"/>
        <w:rPr>
          <w:rFonts w:ascii="Arial" w:hAnsi="Arial" w:cs="Arial"/>
          <w:sz w:val="22"/>
          <w:szCs w:val="22"/>
        </w:rPr>
      </w:pPr>
    </w:p>
    <w:p w:rsidR="007B154C" w:rsidRPr="00576E7A" w:rsidRDefault="00E26E86" w:rsidP="000428EA">
      <w:pPr>
        <w:widowControl/>
        <w:autoSpaceDE/>
        <w:autoSpaceDN/>
        <w:adjustRightInd/>
        <w:rPr>
          <w:sz w:val="22"/>
          <w:szCs w:val="22"/>
        </w:rPr>
      </w:pPr>
      <w:r w:rsidRPr="00E26E86">
        <w:rPr>
          <w:sz w:val="22"/>
          <w:szCs w:val="22"/>
        </w:rPr>
        <w:t xml:space="preserve">Active full-time and part-time employees will be eligible to be reimbursed </w:t>
      </w:r>
      <w:r w:rsidRPr="00E26E86">
        <w:rPr>
          <w:b/>
          <w:sz w:val="22"/>
          <w:szCs w:val="22"/>
        </w:rPr>
        <w:t>up to</w:t>
      </w:r>
      <w:r w:rsidRPr="00E26E86">
        <w:rPr>
          <w:sz w:val="22"/>
          <w:szCs w:val="22"/>
        </w:rPr>
        <w:t xml:space="preserve"> $200 within a calendar year for approved course expenses.  In addition, full-time and part-time employees are eligible to receive their base salary while taking the course </w:t>
      </w:r>
      <w:r w:rsidRPr="00E26E86">
        <w:rPr>
          <w:b/>
          <w:sz w:val="22"/>
          <w:szCs w:val="22"/>
        </w:rPr>
        <w:t>up to</w:t>
      </w:r>
      <w:r w:rsidRPr="00E26E86">
        <w:rPr>
          <w:sz w:val="22"/>
          <w:szCs w:val="22"/>
        </w:rPr>
        <w:t xml:space="preserve"> two days within a calendar year.  Pay is based on their regular scheduled hours for those days and is not to exceed 8 hours.  To be compensated for a full day, the CEU class must last a minimum of 6 hours.  For those that are compensated at a “pay per visit” rate, you will be paid 6 routine visits for an entire day.  Pay is calculated based on the base pay rate at the time of absence, and it will not include any special form of compensation, such as incentives, commissions, bonuses, overtime or shift differentials.</w:t>
      </w:r>
    </w:p>
    <w:p w:rsidR="00E668E2" w:rsidRPr="00576E7A" w:rsidRDefault="00E668E2" w:rsidP="000428EA">
      <w:pPr>
        <w:widowControl/>
        <w:autoSpaceDE/>
        <w:autoSpaceDN/>
        <w:adjustRightInd/>
        <w:rPr>
          <w:sz w:val="22"/>
          <w:szCs w:val="22"/>
        </w:rPr>
      </w:pPr>
    </w:p>
    <w:p w:rsidR="00C7248C" w:rsidRPr="00576E7A" w:rsidRDefault="00E26E86" w:rsidP="000428EA">
      <w:pPr>
        <w:pStyle w:val="NormalWeb"/>
        <w:spacing w:after="0"/>
        <w:rPr>
          <w:rFonts w:ascii="Arial" w:hAnsi="Arial" w:cs="Arial"/>
          <w:sz w:val="22"/>
          <w:szCs w:val="22"/>
        </w:rPr>
      </w:pPr>
      <w:r w:rsidRPr="00E26E86">
        <w:rPr>
          <w:rFonts w:ascii="Arial" w:hAnsi="Arial" w:cs="Arial"/>
          <w:sz w:val="22"/>
          <w:szCs w:val="22"/>
        </w:rPr>
        <w:t>Reimbursements count towards a calendar year based on the date the employee receives the reimbursement payment on their paycheck.</w:t>
      </w:r>
    </w:p>
    <w:p w:rsidR="00C7248C" w:rsidRPr="00576E7A" w:rsidRDefault="00C7248C" w:rsidP="000428EA">
      <w:pPr>
        <w:pStyle w:val="NormalWeb"/>
        <w:spacing w:after="0"/>
        <w:rPr>
          <w:rFonts w:ascii="Arial" w:hAnsi="Arial" w:cs="Arial"/>
          <w:sz w:val="22"/>
          <w:szCs w:val="22"/>
        </w:rPr>
      </w:pPr>
    </w:p>
    <w:p w:rsidR="00E668E2" w:rsidRPr="00576E7A" w:rsidRDefault="00E26E86" w:rsidP="00E668E2">
      <w:pPr>
        <w:rPr>
          <w:b/>
          <w:sz w:val="22"/>
          <w:szCs w:val="22"/>
        </w:rPr>
      </w:pPr>
      <w:r w:rsidRPr="00E26E86">
        <w:rPr>
          <w:b/>
          <w:sz w:val="22"/>
          <w:szCs w:val="22"/>
        </w:rPr>
        <w:t>Part-Time Employees</w:t>
      </w:r>
    </w:p>
    <w:p w:rsidR="00E668E2" w:rsidRPr="00576E7A" w:rsidRDefault="00E668E2" w:rsidP="00E668E2">
      <w:pPr>
        <w:rPr>
          <w:b/>
          <w:sz w:val="22"/>
          <w:szCs w:val="22"/>
        </w:rPr>
      </w:pPr>
    </w:p>
    <w:p w:rsidR="00396FBA" w:rsidRPr="00576E7A" w:rsidRDefault="00E26E86">
      <w:pPr>
        <w:pStyle w:val="NormalWeb"/>
        <w:spacing w:after="0"/>
        <w:rPr>
          <w:rFonts w:ascii="Arial" w:hAnsi="Arial" w:cs="Arial"/>
          <w:sz w:val="22"/>
          <w:szCs w:val="22"/>
        </w:rPr>
      </w:pPr>
      <w:r w:rsidRPr="00E26E86">
        <w:rPr>
          <w:rFonts w:ascii="Arial" w:hAnsi="Arial" w:cs="Arial"/>
          <w:sz w:val="22"/>
          <w:szCs w:val="22"/>
        </w:rPr>
        <w:t xml:space="preserve">Part-time employees will receive both the time off and course reimbursement on a prorated basis based on their full-time equivalency (FTE).  FTE is based on hours scheduled to work as a percent of available full-time hours.  For example, an employee who normally works 32 hours in an average 40 hour work week would have a FTE of 80 percent.  Employees who work 80 percent of a 40 hour work week will be paid 6.4 hours of pay for CEU course attendance (8 hours per day X 80% = 6.4 hours), and 80 percent of the course reimbursement. Due to the varied CEU requirements by specialty, there are different benefits for each Specialty.  The below table outlines the annualized cost for course and time off reimbursement by specialty.  </w:t>
      </w:r>
    </w:p>
    <w:p w:rsidR="008A074D" w:rsidRPr="00576E7A" w:rsidRDefault="008A074D" w:rsidP="000428EA">
      <w:pPr>
        <w:widowControl/>
        <w:autoSpaceDE/>
        <w:autoSpaceDN/>
        <w:adjustRightInd/>
        <w:rPr>
          <w:sz w:val="22"/>
          <w:szCs w:val="22"/>
        </w:rPr>
      </w:pPr>
    </w:p>
    <w:tbl>
      <w:tblPr>
        <w:tblStyle w:val="TableGrid"/>
        <w:tblW w:w="0" w:type="auto"/>
        <w:tblInd w:w="558" w:type="dxa"/>
        <w:tblLook w:val="04A0"/>
      </w:tblPr>
      <w:tblGrid>
        <w:gridCol w:w="2319"/>
        <w:gridCol w:w="3992"/>
        <w:gridCol w:w="1879"/>
        <w:gridCol w:w="2268"/>
      </w:tblGrid>
      <w:tr w:rsidR="00C7248C" w:rsidRPr="00576E7A" w:rsidTr="004749E2">
        <w:tc>
          <w:tcPr>
            <w:tcW w:w="2340" w:type="dxa"/>
          </w:tcPr>
          <w:p w:rsidR="00C7248C" w:rsidRPr="00576E7A" w:rsidRDefault="00E26E86" w:rsidP="000428EA">
            <w:pPr>
              <w:pStyle w:val="ListParagraph"/>
              <w:spacing w:after="0" w:line="240" w:lineRule="auto"/>
              <w:ind w:left="0"/>
              <w:rPr>
                <w:rFonts w:ascii="Arial" w:hAnsi="Arial" w:cs="Arial"/>
                <w:b/>
              </w:rPr>
            </w:pPr>
            <w:r w:rsidRPr="00E26E86">
              <w:rPr>
                <w:rFonts w:ascii="Arial" w:hAnsi="Arial" w:cs="Arial"/>
                <w:b/>
              </w:rPr>
              <w:t>Specialty</w:t>
            </w:r>
          </w:p>
        </w:tc>
        <w:tc>
          <w:tcPr>
            <w:tcW w:w="4050" w:type="dxa"/>
          </w:tcPr>
          <w:p w:rsidR="00C7248C" w:rsidRPr="00576E7A" w:rsidRDefault="00E26E86" w:rsidP="000428EA">
            <w:pPr>
              <w:jc w:val="both"/>
              <w:rPr>
                <w:b/>
                <w:sz w:val="22"/>
                <w:szCs w:val="22"/>
              </w:rPr>
            </w:pPr>
            <w:proofErr w:type="spellStart"/>
            <w:r w:rsidRPr="00E26E86">
              <w:rPr>
                <w:b/>
                <w:sz w:val="22"/>
                <w:szCs w:val="22"/>
              </w:rPr>
              <w:t>CEU’s</w:t>
            </w:r>
            <w:proofErr w:type="spellEnd"/>
            <w:r w:rsidRPr="00E26E86">
              <w:rPr>
                <w:b/>
                <w:sz w:val="22"/>
                <w:szCs w:val="22"/>
              </w:rPr>
              <w:t xml:space="preserve"> required</w:t>
            </w:r>
          </w:p>
        </w:tc>
        <w:tc>
          <w:tcPr>
            <w:tcW w:w="1728" w:type="dxa"/>
          </w:tcPr>
          <w:p w:rsidR="00C7248C" w:rsidRPr="00576E7A" w:rsidRDefault="00E26E86" w:rsidP="000428EA">
            <w:pPr>
              <w:jc w:val="both"/>
              <w:rPr>
                <w:b/>
                <w:sz w:val="22"/>
                <w:szCs w:val="22"/>
              </w:rPr>
            </w:pPr>
            <w:r w:rsidRPr="00E26E86">
              <w:rPr>
                <w:b/>
                <w:sz w:val="22"/>
                <w:szCs w:val="22"/>
              </w:rPr>
              <w:t xml:space="preserve">Course Reimbursement </w:t>
            </w:r>
            <w:r w:rsidRPr="00E26E86">
              <w:rPr>
                <w:b/>
                <w:sz w:val="22"/>
                <w:szCs w:val="22"/>
              </w:rPr>
              <w:lastRenderedPageBreak/>
              <w:t>Annualized</w:t>
            </w:r>
          </w:p>
        </w:tc>
        <w:tc>
          <w:tcPr>
            <w:tcW w:w="2286" w:type="dxa"/>
          </w:tcPr>
          <w:p w:rsidR="00C7248C" w:rsidRPr="00576E7A" w:rsidRDefault="00E26E86" w:rsidP="00D05AF5">
            <w:pPr>
              <w:rPr>
                <w:b/>
                <w:sz w:val="22"/>
                <w:szCs w:val="22"/>
              </w:rPr>
            </w:pPr>
            <w:r w:rsidRPr="00E26E86">
              <w:rPr>
                <w:b/>
                <w:sz w:val="22"/>
                <w:szCs w:val="22"/>
              </w:rPr>
              <w:lastRenderedPageBreak/>
              <w:t>Time Off Annualized</w:t>
            </w:r>
          </w:p>
        </w:tc>
      </w:tr>
      <w:tr w:rsidR="0068249B" w:rsidRPr="00576E7A" w:rsidTr="004749E2">
        <w:tc>
          <w:tcPr>
            <w:tcW w:w="2340" w:type="dxa"/>
          </w:tcPr>
          <w:p w:rsidR="0068249B" w:rsidRPr="00576E7A" w:rsidRDefault="00E26E86" w:rsidP="000428EA">
            <w:pPr>
              <w:pStyle w:val="ListParagraph"/>
              <w:spacing w:after="0" w:line="240" w:lineRule="auto"/>
              <w:ind w:left="0"/>
              <w:rPr>
                <w:rFonts w:ascii="Arial" w:hAnsi="Arial" w:cs="Arial"/>
              </w:rPr>
            </w:pPr>
            <w:proofErr w:type="spellStart"/>
            <w:r w:rsidRPr="00E26E86">
              <w:rPr>
                <w:rFonts w:ascii="Arial" w:hAnsi="Arial" w:cs="Arial"/>
              </w:rPr>
              <w:lastRenderedPageBreak/>
              <w:t>MSW’s</w:t>
            </w:r>
            <w:proofErr w:type="spellEnd"/>
            <w:r w:rsidRPr="00E26E86">
              <w:rPr>
                <w:rFonts w:ascii="Arial" w:hAnsi="Arial" w:cs="Arial"/>
              </w:rPr>
              <w:t xml:space="preserve"> SC</w:t>
            </w:r>
          </w:p>
        </w:tc>
        <w:tc>
          <w:tcPr>
            <w:tcW w:w="4050"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40 hours in 2 years</w:t>
            </w:r>
          </w:p>
        </w:tc>
        <w:tc>
          <w:tcPr>
            <w:tcW w:w="1728"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Up to $200</w:t>
            </w:r>
          </w:p>
        </w:tc>
        <w:tc>
          <w:tcPr>
            <w:tcW w:w="2286"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2 days</w:t>
            </w:r>
          </w:p>
        </w:tc>
      </w:tr>
      <w:tr w:rsidR="0068249B" w:rsidRPr="00576E7A" w:rsidTr="004749E2">
        <w:tc>
          <w:tcPr>
            <w:tcW w:w="2340" w:type="dxa"/>
          </w:tcPr>
          <w:p w:rsidR="0068249B" w:rsidRPr="00576E7A" w:rsidRDefault="00E26E86" w:rsidP="000428EA">
            <w:pPr>
              <w:pStyle w:val="ListParagraph"/>
              <w:spacing w:after="0" w:line="240" w:lineRule="auto"/>
              <w:ind w:left="0"/>
              <w:rPr>
                <w:rFonts w:ascii="Arial" w:hAnsi="Arial" w:cs="Arial"/>
              </w:rPr>
            </w:pPr>
            <w:proofErr w:type="spellStart"/>
            <w:r w:rsidRPr="00E26E86">
              <w:rPr>
                <w:rFonts w:ascii="Arial" w:hAnsi="Arial" w:cs="Arial"/>
              </w:rPr>
              <w:t>MSW’s</w:t>
            </w:r>
            <w:proofErr w:type="spellEnd"/>
            <w:r w:rsidRPr="00E26E86">
              <w:rPr>
                <w:rFonts w:ascii="Arial" w:hAnsi="Arial" w:cs="Arial"/>
              </w:rPr>
              <w:t xml:space="preserve"> GA</w:t>
            </w:r>
          </w:p>
        </w:tc>
        <w:tc>
          <w:tcPr>
            <w:tcW w:w="4050"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35 hours in 2 years</w:t>
            </w:r>
          </w:p>
        </w:tc>
        <w:tc>
          <w:tcPr>
            <w:tcW w:w="1728"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Up to $200</w:t>
            </w:r>
          </w:p>
        </w:tc>
        <w:tc>
          <w:tcPr>
            <w:tcW w:w="2286" w:type="dxa"/>
          </w:tcPr>
          <w:p w:rsidR="0068249B" w:rsidRPr="00576E7A" w:rsidRDefault="00E26E86" w:rsidP="000428EA">
            <w:pPr>
              <w:pStyle w:val="ListParagraph"/>
              <w:spacing w:after="0" w:line="240" w:lineRule="auto"/>
              <w:ind w:left="0"/>
              <w:rPr>
                <w:rFonts w:ascii="Arial" w:hAnsi="Arial" w:cs="Arial"/>
              </w:rPr>
            </w:pPr>
            <w:r w:rsidRPr="00E26E86">
              <w:rPr>
                <w:rFonts w:ascii="Arial" w:hAnsi="Arial" w:cs="Arial"/>
              </w:rPr>
              <w:t>2 days</w:t>
            </w:r>
          </w:p>
        </w:tc>
      </w:tr>
      <w:tr w:rsidR="00C7248C" w:rsidRPr="00576E7A" w:rsidTr="004749E2">
        <w:tc>
          <w:tcPr>
            <w:tcW w:w="2340" w:type="dxa"/>
          </w:tcPr>
          <w:p w:rsidR="00C7248C" w:rsidRPr="00576E7A" w:rsidRDefault="00E26E86" w:rsidP="000428EA">
            <w:pPr>
              <w:pStyle w:val="ListParagraph"/>
              <w:spacing w:after="0" w:line="240" w:lineRule="auto"/>
              <w:ind w:left="0"/>
              <w:rPr>
                <w:rFonts w:ascii="Arial" w:hAnsi="Arial" w:cs="Arial"/>
              </w:rPr>
            </w:pPr>
            <w:proofErr w:type="spellStart"/>
            <w:r w:rsidRPr="00E26E86">
              <w:rPr>
                <w:rFonts w:ascii="Arial" w:hAnsi="Arial" w:cs="Arial"/>
              </w:rPr>
              <w:t>PTs</w:t>
            </w:r>
            <w:proofErr w:type="spellEnd"/>
            <w:r w:rsidRPr="00E26E86">
              <w:rPr>
                <w:rFonts w:ascii="Arial" w:hAnsi="Arial" w:cs="Arial"/>
              </w:rPr>
              <w:t xml:space="preserve"> , PTAs, RNs and SC </w:t>
            </w:r>
            <w:proofErr w:type="spellStart"/>
            <w:r w:rsidRPr="00E26E86">
              <w:rPr>
                <w:rFonts w:ascii="Arial" w:hAnsi="Arial" w:cs="Arial"/>
              </w:rPr>
              <w:t>LPNs</w:t>
            </w:r>
            <w:proofErr w:type="spellEnd"/>
          </w:p>
        </w:tc>
        <w:tc>
          <w:tcPr>
            <w:tcW w:w="4050"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30 hours in 2 years</w:t>
            </w:r>
          </w:p>
        </w:tc>
        <w:tc>
          <w:tcPr>
            <w:tcW w:w="1728"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Up to $175</w:t>
            </w:r>
          </w:p>
        </w:tc>
        <w:tc>
          <w:tcPr>
            <w:tcW w:w="2286"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2 days</w:t>
            </w:r>
          </w:p>
        </w:tc>
      </w:tr>
      <w:tr w:rsidR="00C7248C" w:rsidRPr="00576E7A" w:rsidTr="004749E2">
        <w:tc>
          <w:tcPr>
            <w:tcW w:w="2340"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OT and OTA</w:t>
            </w:r>
          </w:p>
        </w:tc>
        <w:tc>
          <w:tcPr>
            <w:tcW w:w="4050"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24 hours in 2 years</w:t>
            </w:r>
          </w:p>
        </w:tc>
        <w:tc>
          <w:tcPr>
            <w:tcW w:w="1728"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Up to $150</w:t>
            </w:r>
          </w:p>
        </w:tc>
        <w:tc>
          <w:tcPr>
            <w:tcW w:w="2286"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1 day</w:t>
            </w:r>
          </w:p>
        </w:tc>
      </w:tr>
      <w:tr w:rsidR="00C7248C" w:rsidRPr="00576E7A" w:rsidTr="004749E2">
        <w:tc>
          <w:tcPr>
            <w:tcW w:w="2340"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 xml:space="preserve">Speech Therapists and GA </w:t>
            </w:r>
            <w:proofErr w:type="spellStart"/>
            <w:r w:rsidRPr="00E26E86">
              <w:rPr>
                <w:rFonts w:ascii="Arial" w:hAnsi="Arial" w:cs="Arial"/>
              </w:rPr>
              <w:t>LPN’s</w:t>
            </w:r>
            <w:proofErr w:type="spellEnd"/>
          </w:p>
        </w:tc>
        <w:tc>
          <w:tcPr>
            <w:tcW w:w="4050"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20 hours in 2 years</w:t>
            </w:r>
          </w:p>
        </w:tc>
        <w:tc>
          <w:tcPr>
            <w:tcW w:w="1728" w:type="dxa"/>
          </w:tcPr>
          <w:p w:rsidR="00C7248C" w:rsidRPr="00576E7A" w:rsidRDefault="00E26E86" w:rsidP="000428EA">
            <w:pPr>
              <w:pStyle w:val="ListParagraph"/>
              <w:spacing w:after="0" w:line="240" w:lineRule="auto"/>
              <w:ind w:left="0"/>
              <w:rPr>
                <w:rFonts w:ascii="Arial" w:hAnsi="Arial" w:cs="Arial"/>
              </w:rPr>
            </w:pPr>
            <w:r w:rsidRPr="00E26E86">
              <w:rPr>
                <w:rFonts w:ascii="Arial" w:hAnsi="Arial" w:cs="Arial"/>
              </w:rPr>
              <w:t>Up to $100</w:t>
            </w:r>
          </w:p>
        </w:tc>
        <w:tc>
          <w:tcPr>
            <w:tcW w:w="2286" w:type="dxa"/>
          </w:tcPr>
          <w:p w:rsidR="00712DED" w:rsidRPr="00576E7A" w:rsidRDefault="00E26E86" w:rsidP="000428EA">
            <w:pPr>
              <w:pStyle w:val="ListParagraph"/>
              <w:spacing w:after="0" w:line="240" w:lineRule="auto"/>
              <w:ind w:left="0"/>
              <w:rPr>
                <w:rFonts w:ascii="Arial" w:hAnsi="Arial" w:cs="Arial"/>
              </w:rPr>
            </w:pPr>
            <w:r w:rsidRPr="00E26E86">
              <w:rPr>
                <w:rFonts w:ascii="Arial" w:hAnsi="Arial" w:cs="Arial"/>
              </w:rPr>
              <w:t>1 day</w:t>
            </w:r>
          </w:p>
        </w:tc>
      </w:tr>
      <w:tr w:rsidR="00400E71" w:rsidRPr="00576E7A" w:rsidTr="004749E2">
        <w:tc>
          <w:tcPr>
            <w:tcW w:w="2340" w:type="dxa"/>
          </w:tcPr>
          <w:p w:rsidR="00400E71" w:rsidRPr="00576E7A" w:rsidRDefault="00E26E86" w:rsidP="000428EA">
            <w:pPr>
              <w:pStyle w:val="ListParagraph"/>
              <w:spacing w:after="0" w:line="240" w:lineRule="auto"/>
              <w:ind w:left="0"/>
              <w:rPr>
                <w:rFonts w:ascii="Arial" w:hAnsi="Arial" w:cs="Arial"/>
              </w:rPr>
            </w:pPr>
            <w:r w:rsidRPr="00E26E86">
              <w:rPr>
                <w:rFonts w:ascii="Arial" w:hAnsi="Arial" w:cs="Arial"/>
              </w:rPr>
              <w:t>Medical Coders</w:t>
            </w:r>
          </w:p>
        </w:tc>
        <w:tc>
          <w:tcPr>
            <w:tcW w:w="4050" w:type="dxa"/>
          </w:tcPr>
          <w:p w:rsidR="00400E71" w:rsidRPr="00576E7A" w:rsidRDefault="00E26E86" w:rsidP="000428EA">
            <w:pPr>
              <w:pStyle w:val="ListParagraph"/>
              <w:spacing w:after="0" w:line="240" w:lineRule="auto"/>
              <w:ind w:left="0"/>
              <w:rPr>
                <w:rFonts w:ascii="Arial" w:hAnsi="Arial" w:cs="Arial"/>
              </w:rPr>
            </w:pPr>
            <w:r w:rsidRPr="00E26E86">
              <w:rPr>
                <w:rFonts w:ascii="Arial" w:hAnsi="Arial" w:cs="Arial"/>
              </w:rPr>
              <w:t>18 hours in 3 years</w:t>
            </w:r>
          </w:p>
        </w:tc>
        <w:tc>
          <w:tcPr>
            <w:tcW w:w="1728" w:type="dxa"/>
          </w:tcPr>
          <w:p w:rsidR="00400E71" w:rsidRPr="00576E7A" w:rsidRDefault="00E26E86" w:rsidP="000428EA">
            <w:pPr>
              <w:pStyle w:val="ListParagraph"/>
              <w:spacing w:after="0" w:line="240" w:lineRule="auto"/>
              <w:ind w:left="0"/>
              <w:rPr>
                <w:rFonts w:ascii="Arial" w:hAnsi="Arial" w:cs="Arial"/>
              </w:rPr>
            </w:pPr>
            <w:r w:rsidRPr="00E26E86">
              <w:rPr>
                <w:rFonts w:ascii="Arial" w:hAnsi="Arial" w:cs="Arial"/>
              </w:rPr>
              <w:t>Up to $50</w:t>
            </w:r>
          </w:p>
        </w:tc>
        <w:tc>
          <w:tcPr>
            <w:tcW w:w="2286" w:type="dxa"/>
          </w:tcPr>
          <w:p w:rsidR="00400E71" w:rsidRPr="00576E7A" w:rsidRDefault="00E26E86" w:rsidP="000428EA">
            <w:pPr>
              <w:pStyle w:val="ListParagraph"/>
              <w:spacing w:after="0" w:line="240" w:lineRule="auto"/>
              <w:ind w:left="0"/>
              <w:rPr>
                <w:rFonts w:ascii="Arial" w:hAnsi="Arial" w:cs="Arial"/>
              </w:rPr>
            </w:pPr>
            <w:r w:rsidRPr="00E26E86">
              <w:rPr>
                <w:rFonts w:ascii="Arial" w:hAnsi="Arial" w:cs="Arial"/>
              </w:rPr>
              <w:t>½ day</w:t>
            </w:r>
          </w:p>
        </w:tc>
      </w:tr>
    </w:tbl>
    <w:p w:rsidR="008A074D" w:rsidRPr="00576E7A" w:rsidRDefault="008A074D" w:rsidP="000428EA">
      <w:pPr>
        <w:widowControl/>
        <w:autoSpaceDE/>
        <w:autoSpaceDN/>
        <w:adjustRightInd/>
        <w:rPr>
          <w:sz w:val="22"/>
          <w:szCs w:val="22"/>
        </w:rPr>
      </w:pPr>
    </w:p>
    <w:p w:rsidR="00417594" w:rsidRPr="00576E7A" w:rsidRDefault="00E26E86" w:rsidP="000428EA">
      <w:pPr>
        <w:pStyle w:val="NormalWeb"/>
        <w:spacing w:after="0"/>
        <w:rPr>
          <w:rFonts w:ascii="Arial" w:hAnsi="Arial" w:cs="Arial"/>
          <w:sz w:val="22"/>
          <w:szCs w:val="22"/>
        </w:rPr>
      </w:pPr>
      <w:r w:rsidRPr="00E26E86">
        <w:rPr>
          <w:rFonts w:ascii="Arial" w:hAnsi="Arial" w:cs="Arial"/>
          <w:sz w:val="22"/>
          <w:szCs w:val="22"/>
        </w:rPr>
        <w:t xml:space="preserve">If an employee terminates for any reason (other than workforce reduction) within </w:t>
      </w:r>
      <w:r w:rsidR="00805EC0">
        <w:rPr>
          <w:rFonts w:ascii="Arial" w:hAnsi="Arial" w:cs="Arial"/>
          <w:sz w:val="22"/>
          <w:szCs w:val="22"/>
        </w:rPr>
        <w:t>-6 months</w:t>
      </w:r>
      <w:r w:rsidRPr="00E26E86">
        <w:rPr>
          <w:rFonts w:ascii="Arial" w:hAnsi="Arial" w:cs="Arial"/>
          <w:sz w:val="22"/>
          <w:szCs w:val="22"/>
        </w:rPr>
        <w:t xml:space="preserve"> from receiving tuition assistance reimbursement(s), the employee is obligated to remit to the Company those tuition assistance monies received as reimbursement within that </w:t>
      </w:r>
      <w:r w:rsidR="00805EC0">
        <w:rPr>
          <w:rFonts w:ascii="Arial" w:hAnsi="Arial" w:cs="Arial"/>
          <w:sz w:val="22"/>
          <w:szCs w:val="22"/>
        </w:rPr>
        <w:t>-6 month</w:t>
      </w:r>
      <w:r w:rsidRPr="00E26E86">
        <w:rPr>
          <w:rFonts w:ascii="Arial" w:hAnsi="Arial" w:cs="Arial"/>
          <w:sz w:val="22"/>
          <w:szCs w:val="22"/>
        </w:rPr>
        <w:t xml:space="preserve"> period. The employee agrees that any balance owed to the Company will be withheld from their wages, commissions, PTO balance or any other amount due to the employee if it is not paid immediately before termination by the employee.</w:t>
      </w:r>
    </w:p>
    <w:p w:rsidR="00D05AF5" w:rsidRPr="00576E7A" w:rsidRDefault="00D05AF5" w:rsidP="000428EA">
      <w:pPr>
        <w:pStyle w:val="NormalWeb"/>
        <w:spacing w:after="0"/>
        <w:rPr>
          <w:rFonts w:ascii="Arial" w:hAnsi="Arial" w:cs="Arial"/>
          <w:sz w:val="22"/>
          <w:szCs w:val="22"/>
        </w:rPr>
      </w:pPr>
    </w:p>
    <w:p w:rsidR="00CB59E7" w:rsidRPr="00576E7A" w:rsidRDefault="00E26E86" w:rsidP="000428EA">
      <w:pPr>
        <w:pStyle w:val="NormalWeb"/>
        <w:spacing w:after="0"/>
        <w:rPr>
          <w:rFonts w:ascii="Arial" w:hAnsi="Arial" w:cs="Arial"/>
          <w:sz w:val="22"/>
          <w:szCs w:val="22"/>
        </w:rPr>
      </w:pPr>
      <w:r w:rsidRPr="00E26E86">
        <w:rPr>
          <w:rFonts w:ascii="Arial" w:hAnsi="Arial" w:cs="Arial"/>
          <w:sz w:val="22"/>
          <w:szCs w:val="22"/>
        </w:rPr>
        <w:t>Home study and online courses are ineligible for course reimbursement and time off. Courses taken on the weekend are eligible for course reimbursement but are not eligible for time off, unless regularly scheduled on the weekend.  .</w:t>
      </w:r>
    </w:p>
    <w:p w:rsidR="00D05AF5" w:rsidRPr="00576E7A" w:rsidRDefault="00D05AF5" w:rsidP="000428EA">
      <w:pPr>
        <w:pStyle w:val="NormalWeb"/>
        <w:spacing w:after="0"/>
        <w:rPr>
          <w:rFonts w:ascii="Arial" w:hAnsi="Arial" w:cs="Arial"/>
          <w:sz w:val="22"/>
          <w:szCs w:val="22"/>
        </w:rPr>
      </w:pPr>
    </w:p>
    <w:p w:rsidR="00D9041E" w:rsidRPr="00576E7A" w:rsidRDefault="00E26E86" w:rsidP="000428EA">
      <w:pPr>
        <w:rPr>
          <w:b/>
          <w:sz w:val="22"/>
          <w:szCs w:val="22"/>
        </w:rPr>
      </w:pPr>
      <w:r w:rsidRPr="00E26E86">
        <w:rPr>
          <w:b/>
          <w:sz w:val="22"/>
          <w:szCs w:val="22"/>
        </w:rPr>
        <w:t>Criteria and Approval</w:t>
      </w:r>
    </w:p>
    <w:p w:rsidR="00D05AF5" w:rsidRPr="00576E7A" w:rsidRDefault="00D05AF5" w:rsidP="000428EA">
      <w:pPr>
        <w:rPr>
          <w:b/>
          <w:sz w:val="22"/>
          <w:szCs w:val="22"/>
        </w:rPr>
      </w:pPr>
    </w:p>
    <w:p w:rsidR="00D9041E" w:rsidRPr="00576E7A" w:rsidRDefault="00E26E86" w:rsidP="000428EA">
      <w:pPr>
        <w:widowControl/>
        <w:autoSpaceDE/>
        <w:autoSpaceDN/>
        <w:adjustRightInd/>
        <w:rPr>
          <w:sz w:val="22"/>
          <w:szCs w:val="22"/>
        </w:rPr>
      </w:pPr>
      <w:r w:rsidRPr="00E26E86">
        <w:rPr>
          <w:sz w:val="22"/>
          <w:szCs w:val="22"/>
        </w:rPr>
        <w:t>Approval is based on management’s assessment of:</w:t>
      </w:r>
    </w:p>
    <w:p w:rsidR="00D9041E" w:rsidRPr="00576E7A" w:rsidRDefault="00E26E86" w:rsidP="000428EA">
      <w:pPr>
        <w:widowControl/>
        <w:numPr>
          <w:ilvl w:val="0"/>
          <w:numId w:val="7"/>
        </w:numPr>
        <w:autoSpaceDE/>
        <w:autoSpaceDN/>
        <w:adjustRightInd/>
        <w:ind w:left="495"/>
        <w:rPr>
          <w:sz w:val="22"/>
          <w:szCs w:val="22"/>
        </w:rPr>
      </w:pPr>
      <w:r w:rsidRPr="00E26E86">
        <w:rPr>
          <w:sz w:val="22"/>
          <w:szCs w:val="22"/>
        </w:rPr>
        <w:t>Business Case: “Does the program satisfy a Company business requirement?”</w:t>
      </w:r>
    </w:p>
    <w:p w:rsidR="00D9041E" w:rsidRPr="00576E7A" w:rsidRDefault="00E26E86" w:rsidP="000428EA">
      <w:pPr>
        <w:widowControl/>
        <w:numPr>
          <w:ilvl w:val="0"/>
          <w:numId w:val="7"/>
        </w:numPr>
        <w:autoSpaceDE/>
        <w:autoSpaceDN/>
        <w:adjustRightInd/>
        <w:ind w:left="495"/>
        <w:rPr>
          <w:sz w:val="22"/>
          <w:szCs w:val="22"/>
        </w:rPr>
      </w:pPr>
      <w:r w:rsidRPr="00E26E86">
        <w:rPr>
          <w:sz w:val="22"/>
          <w:szCs w:val="22"/>
        </w:rPr>
        <w:t>Reasonable Time frame: “Would the Company benefit from the investment within a reasonable period of time?”</w:t>
      </w:r>
    </w:p>
    <w:p w:rsidR="00D9041E" w:rsidRPr="00576E7A" w:rsidRDefault="00E26E86" w:rsidP="000428EA">
      <w:pPr>
        <w:widowControl/>
        <w:numPr>
          <w:ilvl w:val="0"/>
          <w:numId w:val="7"/>
        </w:numPr>
        <w:autoSpaceDE/>
        <w:autoSpaceDN/>
        <w:adjustRightInd/>
        <w:ind w:left="495"/>
        <w:rPr>
          <w:sz w:val="22"/>
          <w:szCs w:val="22"/>
        </w:rPr>
      </w:pPr>
      <w:r w:rsidRPr="00E26E86">
        <w:rPr>
          <w:sz w:val="22"/>
          <w:szCs w:val="22"/>
        </w:rPr>
        <w:t>Employee Performance: “Does the employee’s performance at least meet expectations?”</w:t>
      </w:r>
    </w:p>
    <w:p w:rsidR="00D05AF5" w:rsidRPr="00576E7A" w:rsidRDefault="00D05AF5" w:rsidP="000428EA">
      <w:pPr>
        <w:pStyle w:val="NormalWeb"/>
        <w:spacing w:after="0"/>
        <w:rPr>
          <w:rFonts w:ascii="Arial" w:hAnsi="Arial" w:cs="Arial"/>
          <w:sz w:val="22"/>
          <w:szCs w:val="22"/>
        </w:rPr>
      </w:pPr>
    </w:p>
    <w:p w:rsidR="00D9041E" w:rsidRPr="00576E7A" w:rsidRDefault="00E26E86" w:rsidP="000428EA">
      <w:pPr>
        <w:pStyle w:val="NormalWeb"/>
        <w:spacing w:after="0"/>
        <w:rPr>
          <w:rFonts w:ascii="Arial" w:hAnsi="Arial" w:cs="Arial"/>
          <w:sz w:val="22"/>
          <w:szCs w:val="22"/>
        </w:rPr>
      </w:pPr>
      <w:r w:rsidRPr="00E26E86">
        <w:rPr>
          <w:rFonts w:ascii="Arial" w:hAnsi="Arial" w:cs="Arial"/>
          <w:sz w:val="22"/>
          <w:szCs w:val="22"/>
        </w:rPr>
        <w:t>CEU assistance may be considered taxable income. Taxes will be automatically withheld for any payments deemed taxable. Employees should consult with a tax adviser for updated IRS information.</w:t>
      </w:r>
    </w:p>
    <w:p w:rsidR="00D05AF5" w:rsidRPr="00576E7A" w:rsidRDefault="00D05AF5" w:rsidP="000428EA">
      <w:pPr>
        <w:pStyle w:val="NormalWeb"/>
        <w:spacing w:after="0"/>
        <w:rPr>
          <w:rFonts w:ascii="Arial" w:hAnsi="Arial" w:cs="Arial"/>
          <w:sz w:val="22"/>
          <w:szCs w:val="22"/>
        </w:rPr>
      </w:pPr>
    </w:p>
    <w:p w:rsidR="00D9041E" w:rsidRPr="00576E7A" w:rsidRDefault="00E26E86" w:rsidP="000428EA">
      <w:pPr>
        <w:pStyle w:val="NormalWeb"/>
        <w:spacing w:after="0"/>
        <w:rPr>
          <w:rFonts w:ascii="Arial" w:hAnsi="Arial" w:cs="Arial"/>
          <w:sz w:val="22"/>
          <w:szCs w:val="22"/>
        </w:rPr>
      </w:pPr>
      <w:r w:rsidRPr="00E26E86">
        <w:rPr>
          <w:rFonts w:ascii="Arial" w:hAnsi="Arial" w:cs="Arial"/>
          <w:sz w:val="22"/>
          <w:szCs w:val="22"/>
        </w:rPr>
        <w:t>Nothing contained in this policy creates or is intended to create a contract between the Company and any of its employees. Any or all components of this policy may be changed, altered, deleted, and/or discontinued at the sole discretion of the Company at any time and without notice.</w:t>
      </w:r>
    </w:p>
    <w:p w:rsidR="00657ACC" w:rsidRPr="00576E7A" w:rsidRDefault="00657ACC" w:rsidP="000428EA">
      <w:pPr>
        <w:rPr>
          <w:sz w:val="22"/>
          <w:szCs w:val="22"/>
        </w:rPr>
      </w:pPr>
    </w:p>
    <w:p w:rsidR="008B6B31" w:rsidRPr="00576E7A" w:rsidRDefault="00E26E86" w:rsidP="000428EA">
      <w:pPr>
        <w:pStyle w:val="Heading3"/>
        <w:spacing w:before="0" w:after="0"/>
        <w:rPr>
          <w:sz w:val="22"/>
          <w:szCs w:val="22"/>
          <w:u w:val="single"/>
        </w:rPr>
      </w:pPr>
      <w:r w:rsidRPr="00E26E86">
        <w:rPr>
          <w:sz w:val="22"/>
          <w:szCs w:val="22"/>
          <w:u w:val="single"/>
        </w:rPr>
        <w:t>PROCEDURE</w:t>
      </w:r>
    </w:p>
    <w:p w:rsidR="008B6B31" w:rsidRPr="00576E7A" w:rsidRDefault="008B6B31" w:rsidP="00821393">
      <w:pPr>
        <w:rPr>
          <w:sz w:val="22"/>
          <w:szCs w:val="22"/>
        </w:rPr>
      </w:pPr>
    </w:p>
    <w:p w:rsidR="00404F3E" w:rsidRPr="00576E7A" w:rsidRDefault="00E26E86" w:rsidP="00821393">
      <w:pPr>
        <w:pStyle w:val="ListParagraph"/>
        <w:numPr>
          <w:ilvl w:val="0"/>
          <w:numId w:val="11"/>
        </w:numPr>
        <w:spacing w:after="0" w:line="240" w:lineRule="auto"/>
        <w:rPr>
          <w:rFonts w:ascii="Arial" w:hAnsi="Arial" w:cs="Arial"/>
        </w:rPr>
      </w:pPr>
      <w:r w:rsidRPr="00E26E86">
        <w:rPr>
          <w:rFonts w:ascii="Arial" w:hAnsi="Arial" w:cs="Arial"/>
        </w:rPr>
        <w:t>Employee completes the following forms (prior to enrolling in CEU):</w:t>
      </w:r>
    </w:p>
    <w:p w:rsidR="00404F3E" w:rsidRPr="00576E7A" w:rsidRDefault="00E26E86" w:rsidP="00821393">
      <w:pPr>
        <w:pStyle w:val="ListParagraph"/>
        <w:numPr>
          <w:ilvl w:val="1"/>
          <w:numId w:val="11"/>
        </w:numPr>
        <w:rPr>
          <w:rFonts w:ascii="Arial" w:hAnsi="Arial" w:cs="Arial"/>
        </w:rPr>
      </w:pPr>
      <w:r w:rsidRPr="00E26E86">
        <w:rPr>
          <w:rFonts w:ascii="Arial" w:hAnsi="Arial" w:cs="Arial"/>
        </w:rPr>
        <w:t>Request for Education Leave Form.</w:t>
      </w:r>
    </w:p>
    <w:p w:rsidR="00404F3E" w:rsidRPr="00576E7A" w:rsidRDefault="00E26E86" w:rsidP="00821393">
      <w:pPr>
        <w:pStyle w:val="ListParagraph"/>
        <w:numPr>
          <w:ilvl w:val="1"/>
          <w:numId w:val="11"/>
        </w:numPr>
        <w:rPr>
          <w:rFonts w:ascii="Arial" w:hAnsi="Arial" w:cs="Arial"/>
        </w:rPr>
      </w:pPr>
      <w:r w:rsidRPr="00E26E86">
        <w:rPr>
          <w:rFonts w:ascii="Arial" w:hAnsi="Arial" w:cs="Arial"/>
        </w:rPr>
        <w:t>PTO Request Form</w:t>
      </w:r>
    </w:p>
    <w:p w:rsidR="00404F3E" w:rsidRPr="00576E7A" w:rsidRDefault="00E26E86" w:rsidP="00821393">
      <w:pPr>
        <w:pStyle w:val="ListParagraph"/>
        <w:numPr>
          <w:ilvl w:val="0"/>
          <w:numId w:val="11"/>
        </w:numPr>
        <w:spacing w:after="0" w:line="240" w:lineRule="auto"/>
        <w:rPr>
          <w:rFonts w:ascii="Arial" w:hAnsi="Arial" w:cs="Arial"/>
        </w:rPr>
      </w:pPr>
      <w:r w:rsidRPr="00E26E86">
        <w:rPr>
          <w:rFonts w:ascii="Arial" w:hAnsi="Arial" w:cs="Arial"/>
        </w:rPr>
        <w:t>Once forms are completed, employee forwards to manager, along with the course syllabus for approval.</w:t>
      </w:r>
    </w:p>
    <w:p w:rsidR="00E668E2" w:rsidRPr="00576E7A" w:rsidRDefault="00E26E86" w:rsidP="00821393">
      <w:pPr>
        <w:pStyle w:val="ListParagraph"/>
        <w:numPr>
          <w:ilvl w:val="0"/>
          <w:numId w:val="11"/>
        </w:numPr>
        <w:spacing w:after="0" w:line="240" w:lineRule="auto"/>
        <w:rPr>
          <w:rFonts w:ascii="Arial" w:hAnsi="Arial" w:cs="Arial"/>
        </w:rPr>
      </w:pPr>
      <w:r w:rsidRPr="00E26E86">
        <w:rPr>
          <w:rFonts w:ascii="Arial" w:hAnsi="Arial" w:cs="Arial"/>
        </w:rPr>
        <w:t>When course is completed and credit is received, the employee submits the documentation to their manager.</w:t>
      </w:r>
    </w:p>
    <w:p w:rsidR="00404F3E" w:rsidRPr="00576E7A" w:rsidRDefault="00E26E86" w:rsidP="00821393">
      <w:pPr>
        <w:pStyle w:val="ListParagraph"/>
        <w:numPr>
          <w:ilvl w:val="0"/>
          <w:numId w:val="11"/>
        </w:numPr>
        <w:spacing w:after="0" w:line="240" w:lineRule="auto"/>
        <w:rPr>
          <w:rFonts w:ascii="Arial" w:hAnsi="Arial" w:cs="Arial"/>
        </w:rPr>
      </w:pPr>
      <w:r w:rsidRPr="00E26E86">
        <w:rPr>
          <w:rFonts w:ascii="Arial" w:hAnsi="Arial" w:cs="Arial"/>
        </w:rPr>
        <w:t xml:space="preserve">The manager then submits approval and all required documentation, along with a completed check request form  to talent management and payroll for processing and filing. The required documentation is the approved Educational Leave Form, course syllabus, certificate of completion and payment receipt.  Once approved and the check request and  all required documentation is received, the reimbursement will be included on the following paycheck.  </w:t>
      </w:r>
    </w:p>
    <w:p w:rsidR="008B6B31" w:rsidRPr="00576E7A" w:rsidRDefault="008B6B31" w:rsidP="000428EA">
      <w:pPr>
        <w:rPr>
          <w:sz w:val="22"/>
          <w:szCs w:val="22"/>
        </w:rPr>
      </w:pPr>
    </w:p>
    <w:sectPr w:rsidR="008B6B31" w:rsidRPr="00576E7A"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FE" w:rsidRDefault="00AE47FE" w:rsidP="007F7F5E">
      <w:r>
        <w:separator/>
      </w:r>
    </w:p>
  </w:endnote>
  <w:endnote w:type="continuationSeparator" w:id="0">
    <w:p w:rsidR="00AE47FE" w:rsidRDefault="00AE47FE"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FE" w:rsidRPr="00214ADD" w:rsidRDefault="00214ADD" w:rsidP="003331F0">
    <w:pPr>
      <w:pStyle w:val="Footer"/>
      <w:tabs>
        <w:tab w:val="clear" w:pos="4320"/>
        <w:tab w:val="clear" w:pos="8640"/>
        <w:tab w:val="right" w:pos="10800"/>
      </w:tabs>
      <w:rPr>
        <w:sz w:val="16"/>
        <w:szCs w:val="16"/>
      </w:rPr>
    </w:pPr>
    <w:proofErr w:type="spellStart"/>
    <w:r>
      <w:rPr>
        <w:sz w:val="16"/>
        <w:szCs w:val="16"/>
      </w:rPr>
      <w:t>G:\Policy</w:t>
    </w:r>
    <w:proofErr w:type="spellEnd"/>
    <w:r>
      <w:rPr>
        <w:sz w:val="16"/>
        <w:szCs w:val="16"/>
      </w:rPr>
      <w:t xml:space="preserve"> and Procedure 2018\Administrative Policy and Procedure Manual\Talent Management\Continuing Education (CEU) </w:t>
    </w:r>
    <w:proofErr w:type="spellStart"/>
    <w:r>
      <w:rPr>
        <w:sz w:val="16"/>
        <w:szCs w:val="16"/>
      </w:rPr>
      <w:t>Reimbursement.doc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FE" w:rsidRDefault="00AE47FE" w:rsidP="007F7F5E">
      <w:r>
        <w:separator/>
      </w:r>
    </w:p>
  </w:footnote>
  <w:footnote w:type="continuationSeparator" w:id="0">
    <w:p w:rsidR="00AE47FE" w:rsidRDefault="00AE47FE"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5F34D81"/>
    <w:multiLevelType w:val="multilevel"/>
    <w:tmpl w:val="1B9CAE5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7F7295"/>
    <w:multiLevelType w:val="hybridMultilevel"/>
    <w:tmpl w:val="FE26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200152"/>
    <w:multiLevelType w:val="multilevel"/>
    <w:tmpl w:val="B644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008AD"/>
    <w:multiLevelType w:val="hybridMultilevel"/>
    <w:tmpl w:val="85E0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num>
  <w:num w:numId="5">
    <w:abstractNumId w:val="3"/>
  </w:num>
  <w:num w:numId="6">
    <w:abstractNumId w:val="2"/>
  </w:num>
  <w:num w:numId="7">
    <w:abstractNumId w:val="6"/>
  </w:num>
  <w:num w:numId="8">
    <w:abstractNumId w:val="1"/>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00E46"/>
    <w:rsid w:val="00027F46"/>
    <w:rsid w:val="000428EA"/>
    <w:rsid w:val="00065906"/>
    <w:rsid w:val="000A150D"/>
    <w:rsid w:val="000D5241"/>
    <w:rsid w:val="000E0DC4"/>
    <w:rsid w:val="000F0A01"/>
    <w:rsid w:val="000F6109"/>
    <w:rsid w:val="0011033E"/>
    <w:rsid w:val="001143C9"/>
    <w:rsid w:val="001407DE"/>
    <w:rsid w:val="001966A7"/>
    <w:rsid w:val="001B156A"/>
    <w:rsid w:val="001E18E3"/>
    <w:rsid w:val="00214ADD"/>
    <w:rsid w:val="00242D54"/>
    <w:rsid w:val="002446D8"/>
    <w:rsid w:val="00275AAF"/>
    <w:rsid w:val="002B25CD"/>
    <w:rsid w:val="003331F0"/>
    <w:rsid w:val="00350569"/>
    <w:rsid w:val="00363469"/>
    <w:rsid w:val="00370277"/>
    <w:rsid w:val="00396FBA"/>
    <w:rsid w:val="003E1632"/>
    <w:rsid w:val="00400E71"/>
    <w:rsid w:val="00404F3E"/>
    <w:rsid w:val="00417594"/>
    <w:rsid w:val="00420F80"/>
    <w:rsid w:val="0045549A"/>
    <w:rsid w:val="004749E2"/>
    <w:rsid w:val="004850C2"/>
    <w:rsid w:val="004A7132"/>
    <w:rsid w:val="004B4BBA"/>
    <w:rsid w:val="004F6A00"/>
    <w:rsid w:val="005579E5"/>
    <w:rsid w:val="00576E7A"/>
    <w:rsid w:val="00583DD9"/>
    <w:rsid w:val="005D2171"/>
    <w:rsid w:val="005F0286"/>
    <w:rsid w:val="005F0E37"/>
    <w:rsid w:val="0061711D"/>
    <w:rsid w:val="00657ACC"/>
    <w:rsid w:val="0066532D"/>
    <w:rsid w:val="0068249B"/>
    <w:rsid w:val="006D4907"/>
    <w:rsid w:val="00712DED"/>
    <w:rsid w:val="00762B0E"/>
    <w:rsid w:val="007769B2"/>
    <w:rsid w:val="007B154C"/>
    <w:rsid w:val="007B1AD2"/>
    <w:rsid w:val="007B4057"/>
    <w:rsid w:val="007C2973"/>
    <w:rsid w:val="007C79D4"/>
    <w:rsid w:val="007D59C6"/>
    <w:rsid w:val="007F1870"/>
    <w:rsid w:val="007F7F5E"/>
    <w:rsid w:val="00805EC0"/>
    <w:rsid w:val="00813147"/>
    <w:rsid w:val="00821393"/>
    <w:rsid w:val="00823C53"/>
    <w:rsid w:val="00826CB9"/>
    <w:rsid w:val="00845943"/>
    <w:rsid w:val="00863E45"/>
    <w:rsid w:val="00893762"/>
    <w:rsid w:val="008A074D"/>
    <w:rsid w:val="008B3E07"/>
    <w:rsid w:val="008B6B31"/>
    <w:rsid w:val="008E02F1"/>
    <w:rsid w:val="0092385B"/>
    <w:rsid w:val="00937A66"/>
    <w:rsid w:val="00960D32"/>
    <w:rsid w:val="009861A7"/>
    <w:rsid w:val="009A090A"/>
    <w:rsid w:val="009F1ACA"/>
    <w:rsid w:val="00A3708A"/>
    <w:rsid w:val="00A40D47"/>
    <w:rsid w:val="00A805DA"/>
    <w:rsid w:val="00A965B0"/>
    <w:rsid w:val="00A96FF5"/>
    <w:rsid w:val="00AA0525"/>
    <w:rsid w:val="00AB10AD"/>
    <w:rsid w:val="00AE47FE"/>
    <w:rsid w:val="00B044FD"/>
    <w:rsid w:val="00B14791"/>
    <w:rsid w:val="00B4117B"/>
    <w:rsid w:val="00B4436E"/>
    <w:rsid w:val="00B97D44"/>
    <w:rsid w:val="00BA1031"/>
    <w:rsid w:val="00BE56B7"/>
    <w:rsid w:val="00C021C4"/>
    <w:rsid w:val="00C605B1"/>
    <w:rsid w:val="00C627C6"/>
    <w:rsid w:val="00C7248C"/>
    <w:rsid w:val="00C75D10"/>
    <w:rsid w:val="00CB59E7"/>
    <w:rsid w:val="00D018B0"/>
    <w:rsid w:val="00D05AF5"/>
    <w:rsid w:val="00D124DF"/>
    <w:rsid w:val="00D85C9C"/>
    <w:rsid w:val="00D9041E"/>
    <w:rsid w:val="00DB092E"/>
    <w:rsid w:val="00DD2A85"/>
    <w:rsid w:val="00DD2E90"/>
    <w:rsid w:val="00E251E8"/>
    <w:rsid w:val="00E26E86"/>
    <w:rsid w:val="00E322CC"/>
    <w:rsid w:val="00E50376"/>
    <w:rsid w:val="00E668E2"/>
    <w:rsid w:val="00E92A9C"/>
    <w:rsid w:val="00E97AFF"/>
    <w:rsid w:val="00EB1BF6"/>
    <w:rsid w:val="00ED514D"/>
    <w:rsid w:val="00EE407E"/>
    <w:rsid w:val="00F44BC8"/>
    <w:rsid w:val="00F5676F"/>
    <w:rsid w:val="00F701C8"/>
    <w:rsid w:val="00FB65CA"/>
    <w:rsid w:val="00FE310A"/>
    <w:rsid w:val="00FE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417594"/>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4F6A0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F6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542118">
      <w:bodyDiv w:val="1"/>
      <w:marLeft w:val="0"/>
      <w:marRight w:val="0"/>
      <w:marTop w:val="0"/>
      <w:marBottom w:val="0"/>
      <w:divBdr>
        <w:top w:val="none" w:sz="0" w:space="0" w:color="auto"/>
        <w:left w:val="none" w:sz="0" w:space="0" w:color="auto"/>
        <w:bottom w:val="none" w:sz="0" w:space="0" w:color="auto"/>
        <w:right w:val="none" w:sz="0" w:space="0" w:color="auto"/>
      </w:divBdr>
      <w:divsChild>
        <w:div w:id="1366100474">
          <w:marLeft w:val="0"/>
          <w:marRight w:val="0"/>
          <w:marTop w:val="0"/>
          <w:marBottom w:val="0"/>
          <w:divBdr>
            <w:top w:val="none" w:sz="0" w:space="0" w:color="auto"/>
            <w:left w:val="none" w:sz="0" w:space="0" w:color="auto"/>
            <w:bottom w:val="none" w:sz="0" w:space="0" w:color="auto"/>
            <w:right w:val="none" w:sz="0" w:space="0" w:color="auto"/>
          </w:divBdr>
          <w:divsChild>
            <w:div w:id="810249022">
              <w:marLeft w:val="0"/>
              <w:marRight w:val="0"/>
              <w:marTop w:val="0"/>
              <w:marBottom w:val="0"/>
              <w:divBdr>
                <w:top w:val="none" w:sz="0" w:space="0" w:color="auto"/>
                <w:left w:val="none" w:sz="0" w:space="0" w:color="auto"/>
                <w:bottom w:val="none" w:sz="0" w:space="0" w:color="auto"/>
                <w:right w:val="none" w:sz="0" w:space="0" w:color="auto"/>
              </w:divBdr>
              <w:divsChild>
                <w:div w:id="1738867607">
                  <w:marLeft w:val="-225"/>
                  <w:marRight w:val="-225"/>
                  <w:marTop w:val="0"/>
                  <w:marBottom w:val="0"/>
                  <w:divBdr>
                    <w:top w:val="none" w:sz="0" w:space="0" w:color="auto"/>
                    <w:left w:val="none" w:sz="0" w:space="0" w:color="auto"/>
                    <w:bottom w:val="none" w:sz="0" w:space="0" w:color="auto"/>
                    <w:right w:val="none" w:sz="0" w:space="0" w:color="auto"/>
                  </w:divBdr>
                  <w:divsChild>
                    <w:div w:id="880017878">
                      <w:marLeft w:val="0"/>
                      <w:marRight w:val="0"/>
                      <w:marTop w:val="0"/>
                      <w:marBottom w:val="0"/>
                      <w:divBdr>
                        <w:top w:val="none" w:sz="0" w:space="0" w:color="auto"/>
                        <w:left w:val="none" w:sz="0" w:space="0" w:color="auto"/>
                        <w:bottom w:val="none" w:sz="0" w:space="0" w:color="auto"/>
                        <w:right w:val="none" w:sz="0" w:space="0" w:color="auto"/>
                      </w:divBdr>
                      <w:divsChild>
                        <w:div w:id="19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54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085">
          <w:marLeft w:val="0"/>
          <w:marRight w:val="0"/>
          <w:marTop w:val="0"/>
          <w:marBottom w:val="0"/>
          <w:divBdr>
            <w:top w:val="none" w:sz="0" w:space="0" w:color="auto"/>
            <w:left w:val="none" w:sz="0" w:space="0" w:color="auto"/>
            <w:bottom w:val="none" w:sz="0" w:space="0" w:color="auto"/>
            <w:right w:val="none" w:sz="0" w:space="0" w:color="auto"/>
          </w:divBdr>
          <w:divsChild>
            <w:div w:id="1848015190">
              <w:marLeft w:val="0"/>
              <w:marRight w:val="0"/>
              <w:marTop w:val="0"/>
              <w:marBottom w:val="0"/>
              <w:divBdr>
                <w:top w:val="none" w:sz="0" w:space="0" w:color="auto"/>
                <w:left w:val="none" w:sz="0" w:space="0" w:color="auto"/>
                <w:bottom w:val="none" w:sz="0" w:space="0" w:color="auto"/>
                <w:right w:val="none" w:sz="0" w:space="0" w:color="auto"/>
              </w:divBdr>
              <w:divsChild>
                <w:div w:id="437330212">
                  <w:marLeft w:val="-225"/>
                  <w:marRight w:val="-225"/>
                  <w:marTop w:val="0"/>
                  <w:marBottom w:val="0"/>
                  <w:divBdr>
                    <w:top w:val="none" w:sz="0" w:space="0" w:color="auto"/>
                    <w:left w:val="none" w:sz="0" w:space="0" w:color="auto"/>
                    <w:bottom w:val="none" w:sz="0" w:space="0" w:color="auto"/>
                    <w:right w:val="none" w:sz="0" w:space="0" w:color="auto"/>
                  </w:divBdr>
                  <w:divsChild>
                    <w:div w:id="1020279125">
                      <w:marLeft w:val="0"/>
                      <w:marRight w:val="0"/>
                      <w:marTop w:val="0"/>
                      <w:marBottom w:val="0"/>
                      <w:divBdr>
                        <w:top w:val="none" w:sz="0" w:space="0" w:color="auto"/>
                        <w:left w:val="none" w:sz="0" w:space="0" w:color="auto"/>
                        <w:bottom w:val="none" w:sz="0" w:space="0" w:color="auto"/>
                        <w:right w:val="none" w:sz="0" w:space="0" w:color="auto"/>
                      </w:divBdr>
                      <w:divsChild>
                        <w:div w:id="1679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46130">
      <w:bodyDiv w:val="1"/>
      <w:marLeft w:val="0"/>
      <w:marRight w:val="0"/>
      <w:marTop w:val="0"/>
      <w:marBottom w:val="0"/>
      <w:divBdr>
        <w:top w:val="none" w:sz="0" w:space="0" w:color="auto"/>
        <w:left w:val="none" w:sz="0" w:space="0" w:color="auto"/>
        <w:bottom w:val="none" w:sz="0" w:space="0" w:color="auto"/>
        <w:right w:val="none" w:sz="0" w:space="0" w:color="auto"/>
      </w:divBdr>
      <w:divsChild>
        <w:div w:id="533463533">
          <w:marLeft w:val="0"/>
          <w:marRight w:val="0"/>
          <w:marTop w:val="0"/>
          <w:marBottom w:val="0"/>
          <w:divBdr>
            <w:top w:val="none" w:sz="0" w:space="0" w:color="auto"/>
            <w:left w:val="none" w:sz="0" w:space="0" w:color="auto"/>
            <w:bottom w:val="none" w:sz="0" w:space="0" w:color="auto"/>
            <w:right w:val="none" w:sz="0" w:space="0" w:color="auto"/>
          </w:divBdr>
          <w:divsChild>
            <w:div w:id="433676132">
              <w:marLeft w:val="0"/>
              <w:marRight w:val="0"/>
              <w:marTop w:val="0"/>
              <w:marBottom w:val="0"/>
              <w:divBdr>
                <w:top w:val="none" w:sz="0" w:space="0" w:color="auto"/>
                <w:left w:val="none" w:sz="0" w:space="0" w:color="auto"/>
                <w:bottom w:val="none" w:sz="0" w:space="0" w:color="auto"/>
                <w:right w:val="none" w:sz="0" w:space="0" w:color="auto"/>
              </w:divBdr>
              <w:divsChild>
                <w:div w:id="1846356739">
                  <w:marLeft w:val="-225"/>
                  <w:marRight w:val="-225"/>
                  <w:marTop w:val="0"/>
                  <w:marBottom w:val="0"/>
                  <w:divBdr>
                    <w:top w:val="none" w:sz="0" w:space="0" w:color="auto"/>
                    <w:left w:val="none" w:sz="0" w:space="0" w:color="auto"/>
                    <w:bottom w:val="none" w:sz="0" w:space="0" w:color="auto"/>
                    <w:right w:val="none" w:sz="0" w:space="0" w:color="auto"/>
                  </w:divBdr>
                  <w:divsChild>
                    <w:div w:id="1205168145">
                      <w:marLeft w:val="0"/>
                      <w:marRight w:val="0"/>
                      <w:marTop w:val="0"/>
                      <w:marBottom w:val="0"/>
                      <w:divBdr>
                        <w:top w:val="none" w:sz="0" w:space="0" w:color="auto"/>
                        <w:left w:val="none" w:sz="0" w:space="0" w:color="auto"/>
                        <w:bottom w:val="none" w:sz="0" w:space="0" w:color="auto"/>
                        <w:right w:val="none" w:sz="0" w:space="0" w:color="auto"/>
                      </w:divBdr>
                      <w:divsChild>
                        <w:div w:id="572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329795">
      <w:bodyDiv w:val="1"/>
      <w:marLeft w:val="0"/>
      <w:marRight w:val="0"/>
      <w:marTop w:val="0"/>
      <w:marBottom w:val="0"/>
      <w:divBdr>
        <w:top w:val="none" w:sz="0" w:space="0" w:color="auto"/>
        <w:left w:val="none" w:sz="0" w:space="0" w:color="auto"/>
        <w:bottom w:val="none" w:sz="0" w:space="0" w:color="auto"/>
        <w:right w:val="none" w:sz="0" w:space="0" w:color="auto"/>
      </w:divBdr>
      <w:divsChild>
        <w:div w:id="1753962885">
          <w:marLeft w:val="0"/>
          <w:marRight w:val="0"/>
          <w:marTop w:val="0"/>
          <w:marBottom w:val="0"/>
          <w:divBdr>
            <w:top w:val="none" w:sz="0" w:space="0" w:color="auto"/>
            <w:left w:val="none" w:sz="0" w:space="0" w:color="auto"/>
            <w:bottom w:val="none" w:sz="0" w:space="0" w:color="auto"/>
            <w:right w:val="none" w:sz="0" w:space="0" w:color="auto"/>
          </w:divBdr>
          <w:divsChild>
            <w:div w:id="1329400779">
              <w:marLeft w:val="0"/>
              <w:marRight w:val="0"/>
              <w:marTop w:val="0"/>
              <w:marBottom w:val="0"/>
              <w:divBdr>
                <w:top w:val="none" w:sz="0" w:space="0" w:color="auto"/>
                <w:left w:val="none" w:sz="0" w:space="0" w:color="auto"/>
                <w:bottom w:val="none" w:sz="0" w:space="0" w:color="auto"/>
                <w:right w:val="none" w:sz="0" w:space="0" w:color="auto"/>
              </w:divBdr>
              <w:divsChild>
                <w:div w:id="1180003704">
                  <w:marLeft w:val="-225"/>
                  <w:marRight w:val="-225"/>
                  <w:marTop w:val="0"/>
                  <w:marBottom w:val="0"/>
                  <w:divBdr>
                    <w:top w:val="none" w:sz="0" w:space="0" w:color="auto"/>
                    <w:left w:val="none" w:sz="0" w:space="0" w:color="auto"/>
                    <w:bottom w:val="none" w:sz="0" w:space="0" w:color="auto"/>
                    <w:right w:val="none" w:sz="0" w:space="0" w:color="auto"/>
                  </w:divBdr>
                  <w:divsChild>
                    <w:div w:id="1989704461">
                      <w:marLeft w:val="0"/>
                      <w:marRight w:val="0"/>
                      <w:marTop w:val="0"/>
                      <w:marBottom w:val="0"/>
                      <w:divBdr>
                        <w:top w:val="none" w:sz="0" w:space="0" w:color="auto"/>
                        <w:left w:val="none" w:sz="0" w:space="0" w:color="auto"/>
                        <w:bottom w:val="none" w:sz="0" w:space="0" w:color="auto"/>
                        <w:right w:val="none" w:sz="0" w:space="0" w:color="auto"/>
                      </w:divBdr>
                      <w:divsChild>
                        <w:div w:id="20610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0052">
      <w:bodyDiv w:val="1"/>
      <w:marLeft w:val="0"/>
      <w:marRight w:val="0"/>
      <w:marTop w:val="0"/>
      <w:marBottom w:val="0"/>
      <w:divBdr>
        <w:top w:val="none" w:sz="0" w:space="0" w:color="auto"/>
        <w:left w:val="none" w:sz="0" w:space="0" w:color="auto"/>
        <w:bottom w:val="none" w:sz="0" w:space="0" w:color="auto"/>
        <w:right w:val="none" w:sz="0" w:space="0" w:color="auto"/>
      </w:divBdr>
      <w:divsChild>
        <w:div w:id="1945190374">
          <w:marLeft w:val="0"/>
          <w:marRight w:val="0"/>
          <w:marTop w:val="0"/>
          <w:marBottom w:val="0"/>
          <w:divBdr>
            <w:top w:val="none" w:sz="0" w:space="0" w:color="auto"/>
            <w:left w:val="none" w:sz="0" w:space="0" w:color="auto"/>
            <w:bottom w:val="none" w:sz="0" w:space="0" w:color="auto"/>
            <w:right w:val="none" w:sz="0" w:space="0" w:color="auto"/>
          </w:divBdr>
          <w:divsChild>
            <w:div w:id="819348845">
              <w:marLeft w:val="0"/>
              <w:marRight w:val="0"/>
              <w:marTop w:val="0"/>
              <w:marBottom w:val="0"/>
              <w:divBdr>
                <w:top w:val="none" w:sz="0" w:space="0" w:color="auto"/>
                <w:left w:val="none" w:sz="0" w:space="0" w:color="auto"/>
                <w:bottom w:val="none" w:sz="0" w:space="0" w:color="auto"/>
                <w:right w:val="none" w:sz="0" w:space="0" w:color="auto"/>
              </w:divBdr>
              <w:divsChild>
                <w:div w:id="977027048">
                  <w:marLeft w:val="-225"/>
                  <w:marRight w:val="-225"/>
                  <w:marTop w:val="0"/>
                  <w:marBottom w:val="0"/>
                  <w:divBdr>
                    <w:top w:val="none" w:sz="0" w:space="0" w:color="auto"/>
                    <w:left w:val="none" w:sz="0" w:space="0" w:color="auto"/>
                    <w:bottom w:val="none" w:sz="0" w:space="0" w:color="auto"/>
                    <w:right w:val="none" w:sz="0" w:space="0" w:color="auto"/>
                  </w:divBdr>
                  <w:divsChild>
                    <w:div w:id="834689355">
                      <w:marLeft w:val="0"/>
                      <w:marRight w:val="0"/>
                      <w:marTop w:val="0"/>
                      <w:marBottom w:val="0"/>
                      <w:divBdr>
                        <w:top w:val="none" w:sz="0" w:space="0" w:color="auto"/>
                        <w:left w:val="none" w:sz="0" w:space="0" w:color="auto"/>
                        <w:bottom w:val="none" w:sz="0" w:space="0" w:color="auto"/>
                        <w:right w:val="none" w:sz="0" w:space="0" w:color="auto"/>
                      </w:divBdr>
                      <w:divsChild>
                        <w:div w:id="7831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D256B-4570-4CF0-A39D-82407F25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2018-06-11T18:59:00Z</cp:lastPrinted>
  <dcterms:created xsi:type="dcterms:W3CDTF">2018-06-11T19:00:00Z</dcterms:created>
  <dcterms:modified xsi:type="dcterms:W3CDTF">2018-06-11T19:00:00Z</dcterms:modified>
</cp:coreProperties>
</file>