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9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87"/>
        <w:gridCol w:w="2792"/>
        <w:gridCol w:w="4233"/>
      </w:tblGrid>
      <w:tr w:rsidR="00D531F9" w:rsidTr="00D531F9">
        <w:trPr>
          <w:cantSplit/>
          <w:trHeight w:val="383"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F9" w:rsidRPr="006459D8" w:rsidRDefault="00D531F9" w:rsidP="007B3485">
            <w:pPr>
              <w:pStyle w:val="Heading1"/>
              <w:spacing w:before="120"/>
              <w:jc w:val="left"/>
              <w:rPr>
                <w:noProof/>
                <w:snapToGrid w:val="0"/>
                <w:sz w:val="36"/>
                <w:szCs w:val="28"/>
              </w:rPr>
            </w:pPr>
            <w:r w:rsidRPr="006459D8">
              <w:rPr>
                <w:noProof/>
                <w:snapToGrid w:val="0"/>
                <w:sz w:val="36"/>
                <w:szCs w:val="28"/>
              </w:rPr>
              <w:t>Withholding or Withdrawing Life-Sustaining Care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1F9" w:rsidRPr="006459D8" w:rsidRDefault="00D531F9" w:rsidP="007B3485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6459D8">
              <w:rPr>
                <w:rFonts w:ascii="Arial" w:hAnsi="Arial" w:cs="Arial"/>
                <w:b/>
                <w:bCs/>
                <w:szCs w:val="24"/>
              </w:rPr>
              <w:t>Last Revision: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1F9" w:rsidRPr="006459D8" w:rsidRDefault="00D531F9" w:rsidP="007B3485">
            <w:pPr>
              <w:spacing w:before="40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November 2016</w:t>
            </w:r>
          </w:p>
        </w:tc>
      </w:tr>
      <w:tr w:rsidR="00D531F9" w:rsidTr="00D531F9">
        <w:trPr>
          <w:cantSplit/>
          <w:trHeight w:val="383"/>
        </w:trPr>
        <w:tc>
          <w:tcPr>
            <w:tcW w:w="4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F9" w:rsidRPr="006459D8" w:rsidRDefault="00D531F9" w:rsidP="007B3485">
            <w:pPr>
              <w:pStyle w:val="Heading1"/>
              <w:spacing w:before="120"/>
              <w:jc w:val="left"/>
              <w:rPr>
                <w:noProof/>
                <w:snapToGrid w:val="0"/>
                <w:sz w:val="36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1F9" w:rsidRPr="006459D8" w:rsidRDefault="00D531F9" w:rsidP="007B3485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Last Reviewed: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1F9" w:rsidRPr="00971987" w:rsidRDefault="00D531F9" w:rsidP="00CB3266">
            <w:pPr>
              <w:spacing w:before="40"/>
              <w:rPr>
                <w:rFonts w:cs="Arial"/>
                <w:color w:val="FF0000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CB3266">
              <w:rPr>
                <w:rFonts w:ascii="Arial" w:hAnsi="Arial" w:cs="Arial"/>
              </w:rPr>
              <w:t>2017</w:t>
            </w:r>
          </w:p>
        </w:tc>
      </w:tr>
      <w:tr w:rsidR="00D531F9" w:rsidTr="00D531F9">
        <w:trPr>
          <w:cantSplit/>
          <w:trHeight w:val="584"/>
        </w:trPr>
        <w:tc>
          <w:tcPr>
            <w:tcW w:w="4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F9" w:rsidRDefault="00D531F9" w:rsidP="007B3485">
            <w:pPr>
              <w:pStyle w:val="Heading1"/>
              <w:spacing w:before="120" w:line="360" w:lineRule="exact"/>
              <w:ind w:left="259"/>
              <w:rPr>
                <w:rFonts w:cs="Arial"/>
                <w:sz w:val="3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1F9" w:rsidRPr="006459D8" w:rsidRDefault="00D531F9" w:rsidP="007B3485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6459D8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1F9" w:rsidRPr="00925DA2" w:rsidRDefault="00D531F9" w:rsidP="00925DA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59D8">
              <w:rPr>
                <w:rFonts w:ascii="Arial" w:hAnsi="Arial" w:cs="Arial"/>
              </w:rPr>
              <w:t>Island Health Care</w:t>
            </w:r>
          </w:p>
          <w:p w:rsidR="00D531F9" w:rsidRDefault="00D531F9" w:rsidP="006459D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59D8">
              <w:rPr>
                <w:rFonts w:ascii="Arial" w:hAnsi="Arial" w:cs="Arial"/>
              </w:rPr>
              <w:t>Independent Life at Home</w:t>
            </w:r>
          </w:p>
          <w:p w:rsidR="00D531F9" w:rsidRPr="006459D8" w:rsidRDefault="00D531F9" w:rsidP="006459D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59D8">
              <w:rPr>
                <w:rFonts w:ascii="Arial" w:hAnsi="Arial" w:cs="Arial"/>
              </w:rPr>
              <w:t>RightHealth</w:t>
            </w:r>
            <w:r w:rsidRPr="006459D8">
              <w:rPr>
                <w:rFonts w:ascii="Arial" w:hAnsi="Arial" w:cs="Arial"/>
                <w:vertAlign w:val="superscript"/>
              </w:rPr>
              <w:t>®</w:t>
            </w:r>
          </w:p>
        </w:tc>
      </w:tr>
      <w:tr w:rsidR="00D531F9" w:rsidTr="00D531F9">
        <w:trPr>
          <w:cantSplit/>
          <w:trHeight w:val="584"/>
        </w:trPr>
        <w:tc>
          <w:tcPr>
            <w:tcW w:w="4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Default="00D531F9" w:rsidP="007B3485">
            <w:pPr>
              <w:pStyle w:val="Heading1"/>
              <w:spacing w:before="120" w:line="360" w:lineRule="exact"/>
              <w:ind w:left="259"/>
              <w:rPr>
                <w:rFonts w:cs="Arial"/>
                <w:sz w:val="3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1F9" w:rsidRPr="006459D8" w:rsidRDefault="00D531F9" w:rsidP="007B3485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6459D8">
              <w:rPr>
                <w:rFonts w:ascii="Arial" w:hAnsi="Arial" w:cs="Arial"/>
                <w:b/>
                <w:bCs/>
              </w:rPr>
              <w:t>Included in the following THA Manual: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1F9" w:rsidRPr="006459D8" w:rsidRDefault="00D531F9" w:rsidP="006459D8">
            <w:pPr>
              <w:rPr>
                <w:rFonts w:ascii="Arial" w:hAnsi="Arial" w:cs="Arial"/>
              </w:rPr>
            </w:pPr>
            <w:r w:rsidRPr="006459D8">
              <w:rPr>
                <w:rFonts w:ascii="Arial" w:hAnsi="Arial" w:cs="Arial"/>
              </w:rPr>
              <w:t>Administrative Polic</w:t>
            </w:r>
            <w:r>
              <w:rPr>
                <w:rFonts w:ascii="Arial" w:hAnsi="Arial" w:cs="Arial"/>
              </w:rPr>
              <w:t>ies</w:t>
            </w:r>
            <w:r w:rsidRPr="006459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Pr="006459D8">
              <w:rPr>
                <w:rFonts w:ascii="Arial" w:hAnsi="Arial" w:cs="Arial"/>
              </w:rPr>
              <w:t xml:space="preserve"> Procedure</w:t>
            </w:r>
            <w:r>
              <w:rPr>
                <w:rFonts w:ascii="Arial" w:hAnsi="Arial" w:cs="Arial"/>
              </w:rPr>
              <w:t>s</w:t>
            </w:r>
            <w:r w:rsidRPr="006459D8">
              <w:rPr>
                <w:rFonts w:ascii="Arial" w:hAnsi="Arial" w:cs="Arial"/>
              </w:rPr>
              <w:t xml:space="preserve"> </w:t>
            </w:r>
          </w:p>
          <w:p w:rsidR="00D531F9" w:rsidRPr="006459D8" w:rsidRDefault="00D531F9" w:rsidP="006459D8">
            <w:pPr>
              <w:ind w:left="310"/>
              <w:rPr>
                <w:rFonts w:ascii="Arial" w:hAnsi="Arial" w:cs="Arial"/>
                <w:szCs w:val="24"/>
              </w:rPr>
            </w:pPr>
            <w:r w:rsidRPr="006459D8">
              <w:rPr>
                <w:rFonts w:ascii="Arial" w:hAnsi="Arial" w:cs="Arial"/>
              </w:rPr>
              <w:t>Ethics, Rights, &amp; Responsibilities</w:t>
            </w:r>
          </w:p>
        </w:tc>
      </w:tr>
    </w:tbl>
    <w:p w:rsidR="006459D8" w:rsidRPr="006459D8" w:rsidRDefault="006459D8" w:rsidP="006459D8">
      <w:pPr>
        <w:rPr>
          <w:rFonts w:ascii="Arial" w:hAnsi="Arial" w:cs="Arial"/>
        </w:rPr>
      </w:pPr>
    </w:p>
    <w:p w:rsidR="00E6753E" w:rsidRPr="006459D8" w:rsidRDefault="00E6753E" w:rsidP="006459D8">
      <w:pPr>
        <w:pStyle w:val="Heading3"/>
        <w:spacing w:after="0"/>
        <w:rPr>
          <w:sz w:val="24"/>
        </w:rPr>
      </w:pPr>
      <w:r w:rsidRPr="006459D8">
        <w:rPr>
          <w:sz w:val="24"/>
        </w:rPr>
        <w:t xml:space="preserve">POLICY </w:t>
      </w:r>
    </w:p>
    <w:p w:rsidR="006459D8" w:rsidRPr="006459D8" w:rsidRDefault="006459D8" w:rsidP="006459D8"/>
    <w:p w:rsidR="00E6753E" w:rsidRPr="006459D8" w:rsidRDefault="00E6753E" w:rsidP="006459D8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6459D8">
        <w:rPr>
          <w:rFonts w:ascii="Arial" w:hAnsi="Arial" w:cs="Arial"/>
          <w:sz w:val="24"/>
        </w:rPr>
        <w:t>Clinicians who receive a request from a patient or caregiver to withhold/withdraw life-sustaining care contact the Director of Patient Centered Care (DPCC) prior to taking any action. Examples of care rendered in the home that could potentially prolong life</w:t>
      </w:r>
      <w:r w:rsidR="006459D8" w:rsidRPr="006459D8">
        <w:rPr>
          <w:rFonts w:ascii="Arial" w:hAnsi="Arial" w:cs="Arial"/>
          <w:sz w:val="24"/>
        </w:rPr>
        <w:t xml:space="preserve"> </w:t>
      </w:r>
      <w:r w:rsidRPr="006459D8">
        <w:rPr>
          <w:rFonts w:ascii="Arial" w:hAnsi="Arial" w:cs="Arial"/>
          <w:sz w:val="24"/>
        </w:rPr>
        <w:t>may</w:t>
      </w:r>
      <w:r w:rsidR="00C82228" w:rsidRPr="006459D8">
        <w:rPr>
          <w:rFonts w:ascii="Arial" w:hAnsi="Arial" w:cs="Arial"/>
          <w:sz w:val="24"/>
        </w:rPr>
        <w:t xml:space="preserve"> include, but are</w:t>
      </w:r>
      <w:r w:rsidRPr="006459D8">
        <w:rPr>
          <w:rFonts w:ascii="Arial" w:hAnsi="Arial" w:cs="Arial"/>
          <w:sz w:val="24"/>
        </w:rPr>
        <w:t xml:space="preserve"> not limited to: </w:t>
      </w:r>
    </w:p>
    <w:p w:rsidR="00E6753E" w:rsidRPr="006459D8" w:rsidRDefault="00E6753E" w:rsidP="006459D8">
      <w:pPr>
        <w:pStyle w:val="BodyText"/>
        <w:numPr>
          <w:ilvl w:val="1"/>
          <w:numId w:val="1"/>
        </w:numPr>
        <w:jc w:val="left"/>
        <w:rPr>
          <w:rFonts w:ascii="Arial" w:hAnsi="Arial" w:cs="Arial"/>
          <w:sz w:val="24"/>
        </w:rPr>
      </w:pPr>
      <w:r w:rsidRPr="006459D8">
        <w:rPr>
          <w:rFonts w:ascii="Arial" w:hAnsi="Arial" w:cs="Arial"/>
          <w:sz w:val="24"/>
        </w:rPr>
        <w:t xml:space="preserve">Tube feedings </w:t>
      </w:r>
    </w:p>
    <w:p w:rsidR="00E6753E" w:rsidRPr="006459D8" w:rsidRDefault="00E6753E" w:rsidP="006459D8">
      <w:pPr>
        <w:pStyle w:val="BodyText"/>
        <w:numPr>
          <w:ilvl w:val="1"/>
          <w:numId w:val="1"/>
        </w:numPr>
        <w:jc w:val="left"/>
        <w:rPr>
          <w:rFonts w:ascii="Arial" w:hAnsi="Arial" w:cs="Arial"/>
          <w:sz w:val="24"/>
        </w:rPr>
      </w:pPr>
      <w:r w:rsidRPr="006459D8">
        <w:rPr>
          <w:rFonts w:ascii="Arial" w:hAnsi="Arial" w:cs="Arial"/>
          <w:sz w:val="24"/>
        </w:rPr>
        <w:t>Intravenous therapy and/or medications</w:t>
      </w:r>
    </w:p>
    <w:p w:rsidR="00E6753E" w:rsidRPr="006459D8" w:rsidRDefault="00E6753E" w:rsidP="006459D8">
      <w:pPr>
        <w:pStyle w:val="BodyText"/>
        <w:numPr>
          <w:ilvl w:val="1"/>
          <w:numId w:val="1"/>
        </w:numPr>
        <w:jc w:val="left"/>
        <w:rPr>
          <w:rFonts w:ascii="Arial" w:hAnsi="Arial" w:cs="Arial"/>
          <w:sz w:val="24"/>
        </w:rPr>
      </w:pPr>
      <w:r w:rsidRPr="006459D8">
        <w:rPr>
          <w:rFonts w:ascii="Arial" w:hAnsi="Arial" w:cs="Arial"/>
          <w:sz w:val="24"/>
        </w:rPr>
        <w:t>Oxygen therapy</w:t>
      </w:r>
    </w:p>
    <w:p w:rsidR="00E6753E" w:rsidRPr="006459D8" w:rsidRDefault="00E6753E" w:rsidP="006459D8">
      <w:pPr>
        <w:pStyle w:val="BodyText"/>
        <w:numPr>
          <w:ilvl w:val="1"/>
          <w:numId w:val="1"/>
        </w:numPr>
        <w:jc w:val="left"/>
        <w:rPr>
          <w:rFonts w:ascii="Arial" w:hAnsi="Arial" w:cs="Arial"/>
          <w:sz w:val="24"/>
        </w:rPr>
      </w:pPr>
      <w:r w:rsidRPr="006459D8">
        <w:rPr>
          <w:rFonts w:ascii="Arial" w:hAnsi="Arial" w:cs="Arial"/>
          <w:sz w:val="24"/>
        </w:rPr>
        <w:t>Ventilators</w:t>
      </w:r>
    </w:p>
    <w:p w:rsidR="00E6753E" w:rsidRPr="006459D8" w:rsidRDefault="00E6753E" w:rsidP="006459D8">
      <w:pPr>
        <w:pStyle w:val="BodyText"/>
        <w:numPr>
          <w:ilvl w:val="1"/>
          <w:numId w:val="1"/>
        </w:numPr>
        <w:jc w:val="left"/>
        <w:rPr>
          <w:rFonts w:ascii="Arial" w:hAnsi="Arial" w:cs="Arial"/>
          <w:sz w:val="24"/>
        </w:rPr>
      </w:pPr>
      <w:r w:rsidRPr="006459D8">
        <w:rPr>
          <w:rFonts w:ascii="Arial" w:hAnsi="Arial" w:cs="Arial"/>
          <w:sz w:val="24"/>
        </w:rPr>
        <w:t>Apnea monitors</w:t>
      </w:r>
    </w:p>
    <w:p w:rsidR="00E6753E" w:rsidRPr="006459D8" w:rsidRDefault="00E6753E" w:rsidP="006459D8">
      <w:pPr>
        <w:pStyle w:val="BodyText"/>
        <w:ind w:left="720"/>
        <w:jc w:val="left"/>
        <w:rPr>
          <w:rFonts w:ascii="Arial" w:hAnsi="Arial" w:cs="Arial"/>
          <w:sz w:val="24"/>
        </w:rPr>
      </w:pPr>
    </w:p>
    <w:p w:rsidR="00E6753E" w:rsidRPr="006459D8" w:rsidRDefault="00E6753E" w:rsidP="006459D8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6459D8">
        <w:rPr>
          <w:rFonts w:ascii="Arial" w:hAnsi="Arial" w:cs="Arial"/>
          <w:sz w:val="24"/>
        </w:rPr>
        <w:t xml:space="preserve">The </w:t>
      </w:r>
      <w:r w:rsidR="006459D8">
        <w:rPr>
          <w:rFonts w:ascii="Arial" w:hAnsi="Arial" w:cs="Arial"/>
          <w:sz w:val="24"/>
        </w:rPr>
        <w:t>DPCC</w:t>
      </w:r>
      <w:r w:rsidRPr="006459D8">
        <w:rPr>
          <w:rFonts w:ascii="Arial" w:hAnsi="Arial" w:cs="Arial"/>
          <w:sz w:val="24"/>
        </w:rPr>
        <w:t xml:space="preserve"> coordinates communication between the patient, family and physician as needed and documents all communication and decisions in the medical record. </w:t>
      </w:r>
    </w:p>
    <w:p w:rsidR="00E6753E" w:rsidRPr="006459D8" w:rsidRDefault="00E6753E" w:rsidP="006459D8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6459D8">
        <w:rPr>
          <w:rFonts w:ascii="Arial" w:hAnsi="Arial" w:cs="Arial"/>
          <w:sz w:val="24"/>
        </w:rPr>
        <w:t>If the physician and patient or families are not in agreement</w:t>
      </w:r>
      <w:r w:rsidR="00415630" w:rsidRPr="006459D8">
        <w:rPr>
          <w:rFonts w:ascii="Arial" w:hAnsi="Arial" w:cs="Arial"/>
          <w:sz w:val="24"/>
        </w:rPr>
        <w:t>,</w:t>
      </w:r>
      <w:r w:rsidRPr="006459D8">
        <w:rPr>
          <w:rFonts w:ascii="Arial" w:hAnsi="Arial" w:cs="Arial"/>
          <w:sz w:val="24"/>
        </w:rPr>
        <w:t xml:space="preserve"> the DPCC will convene an </w:t>
      </w:r>
      <w:r w:rsidR="00DF4F84" w:rsidRPr="006459D8">
        <w:rPr>
          <w:rFonts w:ascii="Arial" w:hAnsi="Arial" w:cs="Arial"/>
          <w:sz w:val="24"/>
        </w:rPr>
        <w:t xml:space="preserve">ad hoc </w:t>
      </w:r>
      <w:r w:rsidRPr="006459D8">
        <w:rPr>
          <w:rFonts w:ascii="Arial" w:hAnsi="Arial" w:cs="Arial"/>
          <w:sz w:val="24"/>
        </w:rPr>
        <w:t xml:space="preserve">Ethics Committee. The Ethics Committee then recommends a course of action to be taken in response to the patient or caregiver’s request. </w:t>
      </w:r>
    </w:p>
    <w:p w:rsidR="00E6753E" w:rsidRPr="006459D8" w:rsidRDefault="00E6753E" w:rsidP="006459D8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6459D8">
        <w:rPr>
          <w:rFonts w:ascii="Arial" w:hAnsi="Arial" w:cs="Arial"/>
          <w:sz w:val="24"/>
        </w:rPr>
        <w:t>The Ethics Committee is composed of members of the Coordinating Council and may include additional clinical and ethical expertise and consultation as deemed appropriate to the situation.</w:t>
      </w:r>
    </w:p>
    <w:p w:rsidR="00E6753E" w:rsidRPr="006459D8" w:rsidRDefault="00E6753E" w:rsidP="006459D8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6459D8">
        <w:rPr>
          <w:rFonts w:ascii="Arial" w:hAnsi="Arial" w:cs="Arial"/>
          <w:sz w:val="24"/>
        </w:rPr>
        <w:t xml:space="preserve">Any direct actions taken by the clinician are consistent with the recommendations of the Ethics Committee and documented with a physician’s order.  </w:t>
      </w:r>
    </w:p>
    <w:sectPr w:rsidR="00E6753E" w:rsidRPr="006459D8" w:rsidSect="006459D8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 w:code="1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5A" w:rsidRDefault="00871F5A" w:rsidP="007169AB">
      <w:r>
        <w:separator/>
      </w:r>
    </w:p>
  </w:endnote>
  <w:endnote w:type="continuationSeparator" w:id="0">
    <w:p w:rsidR="00871F5A" w:rsidRDefault="00871F5A" w:rsidP="0071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F0" w:rsidRDefault="00D63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22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228">
      <w:rPr>
        <w:rStyle w:val="PageNumber"/>
        <w:noProof/>
      </w:rPr>
      <w:t>2</w:t>
    </w:r>
    <w:r>
      <w:rPr>
        <w:rStyle w:val="PageNumber"/>
      </w:rPr>
      <w:fldChar w:fldCharType="end"/>
    </w:r>
  </w:p>
  <w:p w:rsidR="00BB15F0" w:rsidRDefault="00871F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66" w:rsidRPr="006459D8" w:rsidRDefault="00CB3266">
    <w:pPr>
      <w:pStyle w:val="Footer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G: Policies and Procedures\Administrative Policy and Procedure Manual\Ethics, Rights, &amp; Responsibilities\Withholding or Withdrawing Life-Sustaining </w:t>
    </w:r>
    <w:proofErr w:type="spellStart"/>
    <w:r>
      <w:rPr>
        <w:rFonts w:ascii="Arial" w:hAnsi="Arial" w:cs="Arial"/>
        <w:sz w:val="16"/>
      </w:rPr>
      <w:t>Care.doc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F0" w:rsidRDefault="00D63797">
    <w:pPr>
      <w:pStyle w:val="Footer"/>
      <w:framePr w:wrap="around" w:vAnchor="text" w:hAnchor="margin" w:xAlign="right" w:y="1"/>
      <w:spacing w:before="240"/>
      <w:rPr>
        <w:rStyle w:val="PageNumber"/>
      </w:rPr>
    </w:pPr>
    <w:r>
      <w:rPr>
        <w:rStyle w:val="PageNumber"/>
      </w:rPr>
      <w:fldChar w:fldCharType="begin"/>
    </w:r>
    <w:r w:rsidR="00C822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228">
      <w:rPr>
        <w:rStyle w:val="PageNumber"/>
        <w:noProof/>
      </w:rPr>
      <w:t>1</w:t>
    </w:r>
    <w:r>
      <w:rPr>
        <w:rStyle w:val="PageNumber"/>
      </w:rPr>
      <w:fldChar w:fldCharType="end"/>
    </w:r>
  </w:p>
  <w:p w:rsidR="00BB15F0" w:rsidRDefault="00C82228">
    <w:pPr>
      <w:pStyle w:val="Footer"/>
      <w:spacing w:before="240"/>
      <w:ind w:right="360"/>
    </w:pPr>
    <w:r>
      <w:rPr>
        <w:sz w:val="18"/>
      </w:rPr>
      <w:t>Reviewed/Revised 9/3/99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5A" w:rsidRDefault="00871F5A" w:rsidP="007169AB">
      <w:r>
        <w:separator/>
      </w:r>
    </w:p>
  </w:footnote>
  <w:footnote w:type="continuationSeparator" w:id="0">
    <w:p w:rsidR="00871F5A" w:rsidRDefault="00871F5A" w:rsidP="00716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6E1EA5"/>
    <w:multiLevelType w:val="hybridMultilevel"/>
    <w:tmpl w:val="A26200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6753E"/>
    <w:rsid w:val="00093245"/>
    <w:rsid w:val="00111ABC"/>
    <w:rsid w:val="001A3939"/>
    <w:rsid w:val="00415630"/>
    <w:rsid w:val="005C1AE5"/>
    <w:rsid w:val="006459D8"/>
    <w:rsid w:val="007169AB"/>
    <w:rsid w:val="00871F5A"/>
    <w:rsid w:val="00925DA2"/>
    <w:rsid w:val="00947810"/>
    <w:rsid w:val="0097160E"/>
    <w:rsid w:val="00971987"/>
    <w:rsid w:val="00C741F6"/>
    <w:rsid w:val="00C82228"/>
    <w:rsid w:val="00CB3266"/>
    <w:rsid w:val="00D531F9"/>
    <w:rsid w:val="00D63797"/>
    <w:rsid w:val="00D91414"/>
    <w:rsid w:val="00DA5F49"/>
    <w:rsid w:val="00DF4F84"/>
    <w:rsid w:val="00E44CF9"/>
    <w:rsid w:val="00E6753E"/>
    <w:rsid w:val="00E918AD"/>
    <w:rsid w:val="00FF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6753E"/>
    <w:pPr>
      <w:keepNext/>
      <w:widowControl/>
      <w:tabs>
        <w:tab w:val="left" w:pos="-1080"/>
        <w:tab w:val="left" w:pos="-720"/>
        <w:tab w:val="left" w:pos="-90"/>
        <w:tab w:val="left" w:pos="720"/>
      </w:tabs>
      <w:jc w:val="center"/>
      <w:outlineLvl w:val="0"/>
    </w:pPr>
    <w:rPr>
      <w:rFonts w:ascii="Arial" w:hAnsi="Arial"/>
      <w:b/>
      <w:snapToGrid/>
    </w:rPr>
  </w:style>
  <w:style w:type="paragraph" w:styleId="Heading3">
    <w:name w:val="heading 3"/>
    <w:basedOn w:val="Normal"/>
    <w:next w:val="Normal"/>
    <w:link w:val="Heading3Char"/>
    <w:qFormat/>
    <w:rsid w:val="00E6753E"/>
    <w:pPr>
      <w:keepNext/>
      <w:spacing w:after="120"/>
      <w:outlineLvl w:val="2"/>
    </w:pPr>
    <w:rPr>
      <w:rFonts w:ascii="Arial" w:hAnsi="Arial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53E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6753E"/>
    <w:rPr>
      <w:rFonts w:ascii="Arial" w:eastAsia="Times New Roman" w:hAnsi="Arial" w:cs="Arial"/>
      <w:b/>
      <w:snapToGrid w:val="0"/>
      <w:szCs w:val="20"/>
      <w:u w:val="single"/>
    </w:rPr>
  </w:style>
  <w:style w:type="paragraph" w:styleId="Footer">
    <w:name w:val="footer"/>
    <w:basedOn w:val="Normal"/>
    <w:link w:val="FooterChar"/>
    <w:rsid w:val="00E67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53E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E6753E"/>
  </w:style>
  <w:style w:type="paragraph" w:styleId="BodyText">
    <w:name w:val="Body Text"/>
    <w:basedOn w:val="Normal"/>
    <w:link w:val="BodyTextChar"/>
    <w:rsid w:val="00E6753E"/>
    <w:pPr>
      <w:jc w:val="both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rsid w:val="00E6753E"/>
    <w:rPr>
      <w:rFonts w:ascii="Verdana" w:eastAsia="Times New Roman" w:hAnsi="Verdana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45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9D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6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kturner</dc:creator>
  <cp:lastModifiedBy>Crystal Norwood</cp:lastModifiedBy>
  <cp:revision>5</cp:revision>
  <cp:lastPrinted>2018-01-11T14:41:00Z</cp:lastPrinted>
  <dcterms:created xsi:type="dcterms:W3CDTF">2016-11-15T15:23:00Z</dcterms:created>
  <dcterms:modified xsi:type="dcterms:W3CDTF">2016-12-07T20:08:00Z</dcterms:modified>
</cp:coreProperties>
</file>