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6" w:type="pct"/>
        <w:tblInd w:w="108" w:type="dxa"/>
        <w:tblBorders>
          <w:top w:val="single" w:sz="4" w:space="0" w:color="auto"/>
          <w:left w:val="single" w:sz="4" w:space="0" w:color="auto"/>
          <w:bottom w:val="single" w:sz="4" w:space="0" w:color="auto"/>
          <w:right w:val="single" w:sz="4" w:space="0" w:color="auto"/>
        </w:tblBorders>
        <w:tblLook w:val="0000"/>
      </w:tblPr>
      <w:tblGrid>
        <w:gridCol w:w="4070"/>
        <w:gridCol w:w="2749"/>
        <w:gridCol w:w="4122"/>
      </w:tblGrid>
      <w:tr w:rsidR="006D1D01" w:rsidRPr="004C5800" w:rsidTr="006D1D01">
        <w:trPr>
          <w:cantSplit/>
          <w:trHeight w:val="383"/>
        </w:trPr>
        <w:tc>
          <w:tcPr>
            <w:tcW w:w="4070" w:type="dxa"/>
            <w:vMerge w:val="restart"/>
            <w:tcBorders>
              <w:top w:val="single" w:sz="4" w:space="0" w:color="auto"/>
              <w:left w:val="single" w:sz="4" w:space="0" w:color="auto"/>
              <w:right w:val="single" w:sz="4" w:space="0" w:color="auto"/>
            </w:tcBorders>
          </w:tcPr>
          <w:p w:rsidR="006D1D01" w:rsidRPr="004313E2" w:rsidRDefault="006D1D01">
            <w:pPr>
              <w:pStyle w:val="Heading3"/>
              <w:widowControl w:val="0"/>
              <w:spacing w:before="60" w:after="60"/>
              <w:rPr>
                <w:snapToGrid w:val="0"/>
                <w:sz w:val="36"/>
                <w:szCs w:val="28"/>
              </w:rPr>
            </w:pPr>
            <w:r w:rsidRPr="004313E2">
              <w:rPr>
                <w:snapToGrid w:val="0"/>
                <w:sz w:val="36"/>
                <w:szCs w:val="28"/>
              </w:rPr>
              <w:t>Transfers</w:t>
            </w:r>
          </w:p>
        </w:tc>
        <w:tc>
          <w:tcPr>
            <w:tcW w:w="2749" w:type="dxa"/>
            <w:tcBorders>
              <w:top w:val="single" w:sz="4" w:space="0" w:color="auto"/>
              <w:left w:val="single" w:sz="4" w:space="0" w:color="auto"/>
              <w:bottom w:val="single" w:sz="4" w:space="0" w:color="auto"/>
              <w:right w:val="nil"/>
            </w:tcBorders>
          </w:tcPr>
          <w:p w:rsidR="006D1D01" w:rsidRPr="004313E2" w:rsidRDefault="006D1D01" w:rsidP="004313E2">
            <w:pPr>
              <w:spacing w:before="40"/>
              <w:rPr>
                <w:rFonts w:ascii="Arial" w:hAnsi="Arial" w:cs="Arial"/>
                <w:b/>
                <w:bCs/>
                <w:szCs w:val="24"/>
              </w:rPr>
            </w:pPr>
            <w:r w:rsidRPr="004313E2">
              <w:rPr>
                <w:rFonts w:ascii="Arial" w:hAnsi="Arial" w:cs="Arial"/>
                <w:b/>
                <w:bCs/>
              </w:rPr>
              <w:t>Last Revision:</w:t>
            </w:r>
          </w:p>
        </w:tc>
        <w:tc>
          <w:tcPr>
            <w:tcW w:w="4122" w:type="dxa"/>
            <w:tcBorders>
              <w:top w:val="single" w:sz="4" w:space="0" w:color="auto"/>
              <w:left w:val="nil"/>
              <w:bottom w:val="single" w:sz="4" w:space="0" w:color="auto"/>
              <w:right w:val="single" w:sz="4" w:space="0" w:color="auto"/>
            </w:tcBorders>
          </w:tcPr>
          <w:p w:rsidR="006D1D01" w:rsidRPr="008E75EE" w:rsidRDefault="00FA7C4A" w:rsidP="007A7AF5">
            <w:pPr>
              <w:spacing w:before="40"/>
              <w:rPr>
                <w:rFonts w:ascii="Arial" w:hAnsi="Arial" w:cs="Arial"/>
                <w:szCs w:val="24"/>
              </w:rPr>
            </w:pPr>
            <w:r>
              <w:rPr>
                <w:rFonts w:ascii="Arial" w:hAnsi="Arial" w:cs="Arial"/>
              </w:rPr>
              <w:t>March 2018</w:t>
            </w:r>
          </w:p>
        </w:tc>
      </w:tr>
      <w:tr w:rsidR="006D1D01" w:rsidRPr="004C5800" w:rsidTr="006D1D01">
        <w:trPr>
          <w:cantSplit/>
          <w:trHeight w:val="584"/>
        </w:trPr>
        <w:tc>
          <w:tcPr>
            <w:tcW w:w="4070" w:type="dxa"/>
            <w:vMerge/>
            <w:tcBorders>
              <w:left w:val="single" w:sz="4" w:space="0" w:color="auto"/>
              <w:right w:val="single" w:sz="4" w:space="0" w:color="auto"/>
            </w:tcBorders>
          </w:tcPr>
          <w:p w:rsidR="006D1D01" w:rsidRPr="004C5800" w:rsidRDefault="006D1D01">
            <w:pPr>
              <w:pStyle w:val="Heading1"/>
              <w:spacing w:before="120" w:line="360" w:lineRule="exact"/>
              <w:ind w:left="259"/>
              <w:rPr>
                <w:rFonts w:cs="Arial"/>
                <w:sz w:val="32"/>
              </w:rPr>
            </w:pPr>
          </w:p>
        </w:tc>
        <w:tc>
          <w:tcPr>
            <w:tcW w:w="2749" w:type="dxa"/>
            <w:tcBorders>
              <w:top w:val="single" w:sz="4" w:space="0" w:color="auto"/>
              <w:left w:val="single" w:sz="4" w:space="0" w:color="auto"/>
              <w:bottom w:val="single" w:sz="4" w:space="0" w:color="auto"/>
              <w:right w:val="nil"/>
            </w:tcBorders>
          </w:tcPr>
          <w:p w:rsidR="006D1D01" w:rsidRPr="004313E2" w:rsidRDefault="006D1D01" w:rsidP="0080163E">
            <w:pPr>
              <w:spacing w:before="40"/>
              <w:rPr>
                <w:rFonts w:ascii="Arial" w:hAnsi="Arial" w:cs="Arial"/>
                <w:b/>
                <w:bCs/>
              </w:rPr>
            </w:pPr>
            <w:r w:rsidRPr="004313E2">
              <w:rPr>
                <w:rFonts w:ascii="Arial" w:hAnsi="Arial" w:cs="Arial"/>
                <w:b/>
                <w:bCs/>
              </w:rPr>
              <w:t>Last Reviewed</w:t>
            </w:r>
          </w:p>
        </w:tc>
        <w:tc>
          <w:tcPr>
            <w:tcW w:w="4122" w:type="dxa"/>
            <w:tcBorders>
              <w:top w:val="single" w:sz="4" w:space="0" w:color="auto"/>
              <w:left w:val="nil"/>
              <w:bottom w:val="single" w:sz="4" w:space="0" w:color="auto"/>
              <w:right w:val="single" w:sz="4" w:space="0" w:color="auto"/>
            </w:tcBorders>
          </w:tcPr>
          <w:p w:rsidR="006D1D01" w:rsidRPr="008E75EE" w:rsidRDefault="00FA7C4A" w:rsidP="008E75EE">
            <w:pPr>
              <w:rPr>
                <w:rFonts w:ascii="Arial" w:hAnsi="Arial" w:cs="Arial"/>
              </w:rPr>
            </w:pPr>
            <w:r>
              <w:rPr>
                <w:rFonts w:ascii="Arial" w:hAnsi="Arial" w:cs="Arial"/>
              </w:rPr>
              <w:t>March 2018</w:t>
            </w:r>
          </w:p>
        </w:tc>
      </w:tr>
      <w:tr w:rsidR="006D1D01" w:rsidRPr="004C5800" w:rsidTr="006D1D01">
        <w:trPr>
          <w:cantSplit/>
          <w:trHeight w:val="584"/>
        </w:trPr>
        <w:tc>
          <w:tcPr>
            <w:tcW w:w="4070" w:type="dxa"/>
            <w:vMerge/>
            <w:tcBorders>
              <w:left w:val="single" w:sz="4" w:space="0" w:color="auto"/>
              <w:right w:val="single" w:sz="4" w:space="0" w:color="auto"/>
            </w:tcBorders>
          </w:tcPr>
          <w:p w:rsidR="006D1D01" w:rsidRPr="004C5800" w:rsidRDefault="006D1D01">
            <w:pPr>
              <w:pStyle w:val="Heading1"/>
              <w:spacing w:before="120" w:line="360" w:lineRule="exact"/>
              <w:ind w:left="259"/>
              <w:rPr>
                <w:rFonts w:cs="Arial"/>
                <w:sz w:val="32"/>
              </w:rPr>
            </w:pPr>
          </w:p>
        </w:tc>
        <w:tc>
          <w:tcPr>
            <w:tcW w:w="2749" w:type="dxa"/>
            <w:tcBorders>
              <w:top w:val="single" w:sz="4" w:space="0" w:color="auto"/>
              <w:left w:val="single" w:sz="4" w:space="0" w:color="auto"/>
              <w:bottom w:val="single" w:sz="4" w:space="0" w:color="auto"/>
              <w:right w:val="nil"/>
            </w:tcBorders>
          </w:tcPr>
          <w:p w:rsidR="006D1D01" w:rsidRPr="004313E2" w:rsidRDefault="006D1D01" w:rsidP="0080163E">
            <w:pPr>
              <w:spacing w:before="40"/>
              <w:rPr>
                <w:rFonts w:ascii="Arial" w:hAnsi="Arial" w:cs="Arial"/>
                <w:b/>
                <w:bCs/>
              </w:rPr>
            </w:pPr>
            <w:r w:rsidRPr="004313E2">
              <w:rPr>
                <w:rFonts w:ascii="Arial" w:hAnsi="Arial" w:cs="Arial"/>
                <w:b/>
                <w:bCs/>
              </w:rPr>
              <w:t xml:space="preserve">Applies to the following THA Group Companies: </w:t>
            </w:r>
          </w:p>
        </w:tc>
        <w:tc>
          <w:tcPr>
            <w:tcW w:w="4122" w:type="dxa"/>
            <w:tcBorders>
              <w:top w:val="single" w:sz="4" w:space="0" w:color="auto"/>
              <w:left w:val="nil"/>
              <w:bottom w:val="single" w:sz="4" w:space="0" w:color="auto"/>
              <w:right w:val="single" w:sz="4" w:space="0" w:color="auto"/>
            </w:tcBorders>
          </w:tcPr>
          <w:p w:rsidR="006D1D01" w:rsidRPr="004313E2" w:rsidRDefault="006D1D01">
            <w:pPr>
              <w:numPr>
                <w:ilvl w:val="0"/>
                <w:numId w:val="12"/>
              </w:numPr>
              <w:rPr>
                <w:rFonts w:ascii="Arial" w:hAnsi="Arial" w:cs="Arial"/>
              </w:rPr>
            </w:pPr>
            <w:r w:rsidRPr="004313E2">
              <w:rPr>
                <w:rFonts w:ascii="Arial" w:hAnsi="Arial" w:cs="Arial"/>
              </w:rPr>
              <w:t>Island Health Care</w:t>
            </w:r>
          </w:p>
          <w:p w:rsidR="006D1D01" w:rsidRDefault="006D1D01" w:rsidP="004313E2">
            <w:pPr>
              <w:numPr>
                <w:ilvl w:val="0"/>
                <w:numId w:val="12"/>
              </w:numPr>
              <w:rPr>
                <w:rFonts w:ascii="Arial" w:hAnsi="Arial" w:cs="Arial"/>
              </w:rPr>
            </w:pPr>
            <w:r w:rsidRPr="004313E2">
              <w:rPr>
                <w:rFonts w:ascii="Arial" w:hAnsi="Arial" w:cs="Arial"/>
              </w:rPr>
              <w:t>Island Hospice</w:t>
            </w:r>
          </w:p>
          <w:p w:rsidR="006D1D01" w:rsidRPr="004313E2" w:rsidRDefault="006D1D01" w:rsidP="004313E2">
            <w:pPr>
              <w:numPr>
                <w:ilvl w:val="0"/>
                <w:numId w:val="12"/>
              </w:numPr>
              <w:rPr>
                <w:rFonts w:ascii="Arial" w:hAnsi="Arial" w:cs="Arial"/>
              </w:rPr>
            </w:pPr>
            <w:r>
              <w:rPr>
                <w:rFonts w:ascii="Arial" w:hAnsi="Arial" w:cs="Arial"/>
              </w:rPr>
              <w:t>RightHealth</w:t>
            </w:r>
            <w:r w:rsidRPr="006D1D01">
              <w:rPr>
                <w:rFonts w:ascii="Arial" w:hAnsi="Arial" w:cs="Arial"/>
                <w:vertAlign w:val="superscript"/>
              </w:rPr>
              <w:t>®</w:t>
            </w:r>
          </w:p>
        </w:tc>
      </w:tr>
      <w:tr w:rsidR="006D1D01" w:rsidRPr="004313E2" w:rsidTr="006D1D01">
        <w:trPr>
          <w:cantSplit/>
          <w:trHeight w:val="584"/>
        </w:trPr>
        <w:tc>
          <w:tcPr>
            <w:tcW w:w="4070" w:type="dxa"/>
            <w:vMerge/>
            <w:tcBorders>
              <w:left w:val="single" w:sz="4" w:space="0" w:color="auto"/>
              <w:right w:val="single" w:sz="4" w:space="0" w:color="auto"/>
            </w:tcBorders>
          </w:tcPr>
          <w:p w:rsidR="006D1D01" w:rsidRPr="004313E2" w:rsidRDefault="006D1D01" w:rsidP="004313E2">
            <w:pPr>
              <w:pStyle w:val="Heading1"/>
              <w:ind w:left="259" w:right="0"/>
              <w:rPr>
                <w:rFonts w:ascii="Arial" w:hAnsi="Arial" w:cs="Arial"/>
                <w:szCs w:val="24"/>
              </w:rPr>
            </w:pPr>
          </w:p>
        </w:tc>
        <w:tc>
          <w:tcPr>
            <w:tcW w:w="2749" w:type="dxa"/>
            <w:tcBorders>
              <w:top w:val="single" w:sz="4" w:space="0" w:color="auto"/>
              <w:left w:val="single" w:sz="4" w:space="0" w:color="auto"/>
              <w:bottom w:val="single" w:sz="4" w:space="0" w:color="auto"/>
              <w:right w:val="nil"/>
            </w:tcBorders>
          </w:tcPr>
          <w:p w:rsidR="006D1D01" w:rsidRPr="004313E2" w:rsidRDefault="006D1D01" w:rsidP="004313E2">
            <w:pPr>
              <w:rPr>
                <w:rFonts w:ascii="Arial" w:hAnsi="Arial" w:cs="Arial"/>
                <w:b/>
                <w:bCs/>
                <w:szCs w:val="24"/>
              </w:rPr>
            </w:pPr>
            <w:r w:rsidRPr="004313E2">
              <w:rPr>
                <w:rFonts w:ascii="Arial" w:hAnsi="Arial" w:cs="Arial"/>
                <w:b/>
                <w:bCs/>
                <w:szCs w:val="24"/>
              </w:rPr>
              <w:t>Included in the following THA Manual:</w:t>
            </w:r>
          </w:p>
        </w:tc>
        <w:tc>
          <w:tcPr>
            <w:tcW w:w="4122" w:type="dxa"/>
            <w:tcBorders>
              <w:top w:val="single" w:sz="4" w:space="0" w:color="auto"/>
              <w:left w:val="nil"/>
              <w:bottom w:val="single" w:sz="4" w:space="0" w:color="auto"/>
              <w:right w:val="single" w:sz="4" w:space="0" w:color="auto"/>
            </w:tcBorders>
          </w:tcPr>
          <w:p w:rsidR="006D1D01" w:rsidRPr="004313E2" w:rsidRDefault="006D1D01" w:rsidP="004313E2">
            <w:pPr>
              <w:rPr>
                <w:rFonts w:ascii="Arial" w:hAnsi="Arial" w:cs="Arial"/>
                <w:szCs w:val="24"/>
              </w:rPr>
            </w:pPr>
            <w:r w:rsidRPr="004313E2">
              <w:rPr>
                <w:rFonts w:ascii="Arial" w:hAnsi="Arial" w:cs="Arial"/>
                <w:szCs w:val="24"/>
              </w:rPr>
              <w:t>Administrative Policy &amp; Procedure Manual</w:t>
            </w:r>
          </w:p>
          <w:p w:rsidR="006D1D01" w:rsidRPr="004313E2" w:rsidRDefault="006D1D01" w:rsidP="004313E2">
            <w:pPr>
              <w:ind w:left="352"/>
              <w:rPr>
                <w:rFonts w:ascii="Arial" w:hAnsi="Arial" w:cs="Arial"/>
                <w:szCs w:val="24"/>
              </w:rPr>
            </w:pPr>
            <w:r w:rsidRPr="004313E2">
              <w:rPr>
                <w:rFonts w:ascii="Arial" w:hAnsi="Arial" w:cs="Arial"/>
                <w:szCs w:val="24"/>
              </w:rPr>
              <w:t>Provision of Care, Treatment &amp; Service</w:t>
            </w:r>
          </w:p>
        </w:tc>
      </w:tr>
    </w:tbl>
    <w:p w:rsidR="004313E2" w:rsidRPr="004313E2" w:rsidRDefault="004313E2" w:rsidP="004313E2">
      <w:pPr>
        <w:rPr>
          <w:rFonts w:ascii="Arial" w:hAnsi="Arial" w:cs="Arial"/>
          <w:b/>
          <w:szCs w:val="24"/>
          <w:u w:val="single"/>
        </w:rPr>
      </w:pPr>
    </w:p>
    <w:p w:rsidR="000567EF" w:rsidRPr="004313E2" w:rsidRDefault="00BE0C06" w:rsidP="004313E2">
      <w:pPr>
        <w:pStyle w:val="Heading4"/>
        <w:ind w:right="0"/>
        <w:rPr>
          <w:rFonts w:ascii="Arial" w:hAnsi="Arial" w:cs="Arial"/>
          <w:sz w:val="24"/>
          <w:szCs w:val="24"/>
        </w:rPr>
      </w:pPr>
      <w:r w:rsidRPr="004313E2">
        <w:rPr>
          <w:rFonts w:ascii="Arial" w:hAnsi="Arial" w:cs="Arial"/>
          <w:sz w:val="24"/>
          <w:szCs w:val="24"/>
        </w:rPr>
        <w:t xml:space="preserve">POLICY </w:t>
      </w:r>
    </w:p>
    <w:p w:rsidR="004313E2" w:rsidRDefault="004313E2" w:rsidP="004313E2">
      <w:pPr>
        <w:jc w:val="both"/>
        <w:rPr>
          <w:rFonts w:ascii="Arial" w:hAnsi="Arial" w:cs="Arial"/>
          <w:szCs w:val="24"/>
        </w:rPr>
      </w:pPr>
    </w:p>
    <w:p w:rsidR="000567EF" w:rsidRPr="004313E2" w:rsidRDefault="00BE0C06" w:rsidP="004313E2">
      <w:pPr>
        <w:rPr>
          <w:rFonts w:ascii="Arial" w:hAnsi="Arial" w:cs="Arial"/>
          <w:szCs w:val="24"/>
        </w:rPr>
      </w:pPr>
      <w:r w:rsidRPr="004313E2">
        <w:rPr>
          <w:rFonts w:ascii="Arial" w:hAnsi="Arial" w:cs="Arial"/>
          <w:szCs w:val="24"/>
        </w:rPr>
        <w:t>When a patient’s needs change significantly and he/she requires care that cannot be provided by the organization, a transfer/referral to another service provider is made.  A transfer may be either planned or unplanned based on the circumstances and events leading to the transfer. A transfer summary is completed for all transfers and sent to the receiving organization in a timely manner.</w:t>
      </w:r>
      <w:r w:rsidR="00170539">
        <w:rPr>
          <w:rFonts w:ascii="Arial" w:hAnsi="Arial" w:cs="Arial"/>
          <w:szCs w:val="24"/>
        </w:rPr>
        <w:t xml:space="preserve"> The patient and representative (if any) have a right to be informed of the organization’s policy for transfer.</w:t>
      </w:r>
    </w:p>
    <w:p w:rsidR="000567EF" w:rsidRPr="004313E2" w:rsidRDefault="000567EF" w:rsidP="004313E2">
      <w:pPr>
        <w:rPr>
          <w:rFonts w:ascii="Arial" w:hAnsi="Arial" w:cs="Arial"/>
          <w:szCs w:val="24"/>
        </w:rPr>
      </w:pPr>
    </w:p>
    <w:p w:rsidR="000567EF" w:rsidRPr="004313E2" w:rsidRDefault="00BE0C06" w:rsidP="004313E2">
      <w:pPr>
        <w:rPr>
          <w:rFonts w:ascii="Arial" w:hAnsi="Arial" w:cs="Arial"/>
          <w:szCs w:val="24"/>
        </w:rPr>
      </w:pPr>
      <w:r w:rsidRPr="004313E2">
        <w:rPr>
          <w:rFonts w:ascii="Arial" w:hAnsi="Arial" w:cs="Arial"/>
          <w:b/>
          <w:szCs w:val="24"/>
          <w:u w:val="single"/>
        </w:rPr>
        <w:t xml:space="preserve">PURPOSE </w:t>
      </w:r>
    </w:p>
    <w:p w:rsidR="004313E2" w:rsidRDefault="004313E2" w:rsidP="004313E2">
      <w:pPr>
        <w:rPr>
          <w:rFonts w:ascii="Arial" w:hAnsi="Arial" w:cs="Arial"/>
          <w:szCs w:val="24"/>
        </w:rPr>
      </w:pPr>
    </w:p>
    <w:p w:rsidR="000567EF" w:rsidRPr="004313E2" w:rsidRDefault="00BE0C06" w:rsidP="004313E2">
      <w:pPr>
        <w:rPr>
          <w:rFonts w:ascii="Arial" w:hAnsi="Arial" w:cs="Arial"/>
          <w:szCs w:val="24"/>
        </w:rPr>
      </w:pPr>
      <w:r w:rsidRPr="004313E2">
        <w:rPr>
          <w:rFonts w:ascii="Arial" w:hAnsi="Arial" w:cs="Arial"/>
          <w:szCs w:val="24"/>
        </w:rPr>
        <w:t>To outline the process for transferring or referring a patient to another service provider and define the requirements for documentation of the transfer.</w:t>
      </w:r>
    </w:p>
    <w:p w:rsidR="000567EF" w:rsidRPr="004313E2" w:rsidRDefault="000567EF" w:rsidP="004313E2">
      <w:pPr>
        <w:rPr>
          <w:rFonts w:ascii="Arial" w:hAnsi="Arial" w:cs="Arial"/>
          <w:szCs w:val="24"/>
        </w:rPr>
      </w:pPr>
    </w:p>
    <w:p w:rsidR="000567EF" w:rsidRPr="003A47BF" w:rsidRDefault="00BE0C06" w:rsidP="004313E2">
      <w:pPr>
        <w:pStyle w:val="Heading6"/>
        <w:ind w:right="0"/>
        <w:jc w:val="left"/>
        <w:rPr>
          <w:i w:val="0"/>
          <w:sz w:val="24"/>
          <w:szCs w:val="24"/>
        </w:rPr>
      </w:pPr>
      <w:r w:rsidRPr="003A47BF">
        <w:rPr>
          <w:i w:val="0"/>
          <w:sz w:val="24"/>
          <w:szCs w:val="24"/>
        </w:rPr>
        <w:t>Transfer/Referral Criteria</w:t>
      </w:r>
    </w:p>
    <w:p w:rsidR="00646F9B" w:rsidRPr="004313E2" w:rsidRDefault="00BE0C06" w:rsidP="004313E2">
      <w:pPr>
        <w:pStyle w:val="BodyText"/>
        <w:ind w:right="0"/>
        <w:jc w:val="left"/>
        <w:rPr>
          <w:sz w:val="24"/>
          <w:szCs w:val="24"/>
        </w:rPr>
      </w:pPr>
      <w:r w:rsidRPr="004313E2">
        <w:rPr>
          <w:sz w:val="24"/>
          <w:szCs w:val="24"/>
        </w:rPr>
        <w:t>The organization’s services a</w:t>
      </w:r>
      <w:r w:rsidR="004313E2">
        <w:rPr>
          <w:sz w:val="24"/>
          <w:szCs w:val="24"/>
        </w:rPr>
        <w:t xml:space="preserve">re not arbitrarily terminated. </w:t>
      </w:r>
      <w:r w:rsidRPr="004313E2">
        <w:rPr>
          <w:sz w:val="24"/>
          <w:szCs w:val="24"/>
        </w:rPr>
        <w:t>The patient may be transferred/referred only for the following reasons, which are documented in the clinical record:</w:t>
      </w:r>
    </w:p>
    <w:p w:rsidR="000567EF" w:rsidRPr="004313E2" w:rsidRDefault="000567EF" w:rsidP="004313E2">
      <w:pPr>
        <w:rPr>
          <w:rFonts w:ascii="Arial" w:hAnsi="Arial" w:cs="Arial"/>
          <w:szCs w:val="24"/>
        </w:rPr>
      </w:pPr>
    </w:p>
    <w:p w:rsidR="000567EF" w:rsidRPr="004313E2" w:rsidRDefault="00CE4252" w:rsidP="004313E2">
      <w:pPr>
        <w:numPr>
          <w:ilvl w:val="0"/>
          <w:numId w:val="6"/>
        </w:numPr>
        <w:rPr>
          <w:rFonts w:ascii="Arial" w:hAnsi="Arial" w:cs="Arial"/>
          <w:szCs w:val="24"/>
        </w:rPr>
      </w:pPr>
      <w:r>
        <w:rPr>
          <w:rFonts w:ascii="Arial" w:hAnsi="Arial" w:cs="Arial"/>
          <w:szCs w:val="24"/>
        </w:rPr>
        <w:t>The transfer is necessary for the patient’s welfare because THA Group and the physician who is responsible for the home health plan of care agree that the organization can no longer meet the patient’s needs, based on the patient’s acuity.  The organization must arrange a safe and appropriate transfer to other care entities when the needs of the patient exceed the organization’s capabilities</w:t>
      </w:r>
      <w:r w:rsidR="003F47EA">
        <w:rPr>
          <w:rFonts w:ascii="Arial" w:hAnsi="Arial" w:cs="Arial"/>
          <w:szCs w:val="24"/>
        </w:rPr>
        <w:t>;</w:t>
      </w:r>
    </w:p>
    <w:p w:rsidR="000567EF" w:rsidRPr="004313E2" w:rsidRDefault="003F47EA" w:rsidP="004313E2">
      <w:pPr>
        <w:numPr>
          <w:ilvl w:val="0"/>
          <w:numId w:val="6"/>
        </w:numPr>
        <w:rPr>
          <w:rFonts w:ascii="Arial" w:hAnsi="Arial" w:cs="Arial"/>
          <w:szCs w:val="24"/>
        </w:rPr>
      </w:pPr>
      <w:r>
        <w:rPr>
          <w:rFonts w:ascii="Arial" w:hAnsi="Arial" w:cs="Arial"/>
          <w:szCs w:val="24"/>
        </w:rPr>
        <w:t>The patient or payer will no longer pay for the services provided by the organization;</w:t>
      </w:r>
    </w:p>
    <w:p w:rsidR="000567EF" w:rsidRPr="004313E2" w:rsidRDefault="00BE0C06" w:rsidP="004313E2">
      <w:pPr>
        <w:numPr>
          <w:ilvl w:val="0"/>
          <w:numId w:val="6"/>
        </w:numPr>
        <w:rPr>
          <w:rFonts w:ascii="Arial" w:hAnsi="Arial" w:cs="Arial"/>
          <w:szCs w:val="24"/>
        </w:rPr>
      </w:pPr>
      <w:r w:rsidRPr="004313E2">
        <w:rPr>
          <w:rFonts w:ascii="Arial" w:hAnsi="Arial" w:cs="Arial"/>
          <w:szCs w:val="24"/>
        </w:rPr>
        <w:t>The patient moves from the geographic area served by the organization.</w:t>
      </w:r>
    </w:p>
    <w:p w:rsidR="000567EF" w:rsidRDefault="003F47EA" w:rsidP="004313E2">
      <w:pPr>
        <w:numPr>
          <w:ilvl w:val="0"/>
          <w:numId w:val="6"/>
        </w:numPr>
        <w:rPr>
          <w:rFonts w:ascii="Arial" w:hAnsi="Arial" w:cs="Arial"/>
          <w:szCs w:val="24"/>
        </w:rPr>
      </w:pPr>
      <w:r>
        <w:rPr>
          <w:rFonts w:ascii="Arial" w:hAnsi="Arial" w:cs="Arial"/>
          <w:szCs w:val="24"/>
        </w:rPr>
        <w:t>The patient refuses services, or elects to be transferred or discharged;</w:t>
      </w:r>
    </w:p>
    <w:p w:rsidR="003F47EA" w:rsidRPr="004313E2" w:rsidRDefault="003F47EA" w:rsidP="004313E2">
      <w:pPr>
        <w:numPr>
          <w:ilvl w:val="0"/>
          <w:numId w:val="6"/>
        </w:numPr>
        <w:rPr>
          <w:rFonts w:ascii="Arial" w:hAnsi="Arial" w:cs="Arial"/>
          <w:szCs w:val="24"/>
        </w:rPr>
      </w:pPr>
      <w:r>
        <w:rPr>
          <w:rFonts w:ascii="Arial" w:hAnsi="Arial" w:cs="Arial"/>
          <w:szCs w:val="24"/>
        </w:rPr>
        <w:t>The transfer is appropriate because the physician who is responsible for the home health plan of care and the organization agree that the measurable outcomes and goals set forth in the plan of care have been achieved, and the organization and the physician who is responsible for the home health plan of care agree that the patient no longer needs the organization’s services.</w:t>
      </w:r>
    </w:p>
    <w:p w:rsidR="000567EF" w:rsidRPr="004313E2" w:rsidRDefault="00BE0C06" w:rsidP="004313E2">
      <w:pPr>
        <w:numPr>
          <w:ilvl w:val="0"/>
          <w:numId w:val="6"/>
        </w:numPr>
        <w:rPr>
          <w:rFonts w:ascii="Arial" w:hAnsi="Arial" w:cs="Arial"/>
          <w:szCs w:val="24"/>
        </w:rPr>
      </w:pPr>
      <w:r w:rsidRPr="004313E2">
        <w:rPr>
          <w:rFonts w:ascii="Arial" w:hAnsi="Arial" w:cs="Arial"/>
          <w:szCs w:val="24"/>
        </w:rPr>
        <w:t>The patient, family/caregiver, and/or physician request a transfer to another healthcare provider</w:t>
      </w:r>
    </w:p>
    <w:p w:rsidR="000567EF" w:rsidRPr="004313E2" w:rsidRDefault="00BE0C06" w:rsidP="004313E2">
      <w:pPr>
        <w:rPr>
          <w:rFonts w:ascii="Arial" w:hAnsi="Arial" w:cs="Arial"/>
          <w:szCs w:val="24"/>
        </w:rPr>
      </w:pPr>
      <w:r w:rsidRPr="004313E2">
        <w:rPr>
          <w:rFonts w:ascii="Arial" w:hAnsi="Arial" w:cs="Arial"/>
          <w:szCs w:val="24"/>
        </w:rPr>
        <w:t xml:space="preserve"> </w:t>
      </w:r>
    </w:p>
    <w:p w:rsidR="000567EF" w:rsidRPr="004313E2" w:rsidRDefault="00BE0C06" w:rsidP="004313E2">
      <w:pPr>
        <w:pStyle w:val="Heading1"/>
        <w:ind w:right="0"/>
        <w:rPr>
          <w:rFonts w:ascii="Arial" w:hAnsi="Arial" w:cs="Arial"/>
          <w:szCs w:val="24"/>
        </w:rPr>
      </w:pPr>
      <w:r w:rsidRPr="004313E2">
        <w:rPr>
          <w:rFonts w:ascii="Arial" w:hAnsi="Arial" w:cs="Arial"/>
          <w:szCs w:val="24"/>
        </w:rPr>
        <w:t>PROCEDURE</w:t>
      </w:r>
      <w:r w:rsidR="004313E2">
        <w:rPr>
          <w:rFonts w:ascii="Arial" w:hAnsi="Arial" w:cs="Arial"/>
          <w:szCs w:val="24"/>
        </w:rPr>
        <w:t xml:space="preserve"> – ISLAND HEALTH CARE</w:t>
      </w:r>
    </w:p>
    <w:p w:rsidR="00A04DBD" w:rsidRPr="004313E2" w:rsidRDefault="00A04DBD" w:rsidP="004313E2">
      <w:pPr>
        <w:rPr>
          <w:rFonts w:ascii="Arial" w:hAnsi="Arial" w:cs="Arial"/>
          <w:szCs w:val="24"/>
        </w:rPr>
      </w:pPr>
    </w:p>
    <w:p w:rsidR="00A04DBD" w:rsidRPr="004313E2" w:rsidRDefault="00F543C1" w:rsidP="004313E2">
      <w:pPr>
        <w:numPr>
          <w:ilvl w:val="0"/>
          <w:numId w:val="18"/>
        </w:numPr>
        <w:rPr>
          <w:rFonts w:ascii="Arial" w:hAnsi="Arial" w:cs="Arial"/>
          <w:szCs w:val="24"/>
        </w:rPr>
      </w:pPr>
      <w:r>
        <w:rPr>
          <w:rFonts w:ascii="Arial" w:hAnsi="Arial" w:cs="Arial"/>
          <w:szCs w:val="24"/>
        </w:rPr>
        <w:t xml:space="preserve">The </w:t>
      </w:r>
      <w:r w:rsidRPr="004313E2">
        <w:rPr>
          <w:rFonts w:ascii="Arial" w:hAnsi="Arial" w:cs="Arial"/>
          <w:szCs w:val="24"/>
        </w:rPr>
        <w:t>Director</w:t>
      </w:r>
      <w:r w:rsidR="004463A6" w:rsidRPr="004313E2">
        <w:rPr>
          <w:rFonts w:ascii="Arial" w:hAnsi="Arial" w:cs="Arial"/>
          <w:szCs w:val="24"/>
        </w:rPr>
        <w:t xml:space="preserve"> of </w:t>
      </w:r>
      <w:r w:rsidR="004313E2">
        <w:rPr>
          <w:rFonts w:ascii="Arial" w:hAnsi="Arial" w:cs="Arial"/>
          <w:szCs w:val="24"/>
        </w:rPr>
        <w:t>P</w:t>
      </w:r>
      <w:r w:rsidR="004463A6" w:rsidRPr="004313E2">
        <w:rPr>
          <w:rFonts w:ascii="Arial" w:hAnsi="Arial" w:cs="Arial"/>
          <w:szCs w:val="24"/>
        </w:rPr>
        <w:t xml:space="preserve">atient </w:t>
      </w:r>
      <w:r w:rsidR="004313E2">
        <w:rPr>
          <w:rFonts w:ascii="Arial" w:hAnsi="Arial" w:cs="Arial"/>
          <w:szCs w:val="24"/>
        </w:rPr>
        <w:t>Centered C</w:t>
      </w:r>
      <w:r w:rsidR="004463A6" w:rsidRPr="004313E2">
        <w:rPr>
          <w:rFonts w:ascii="Arial" w:hAnsi="Arial" w:cs="Arial"/>
          <w:szCs w:val="24"/>
        </w:rPr>
        <w:t>are</w:t>
      </w:r>
      <w:r w:rsidR="00BE0C06" w:rsidRPr="004313E2">
        <w:rPr>
          <w:rFonts w:ascii="Arial" w:hAnsi="Arial" w:cs="Arial"/>
          <w:szCs w:val="24"/>
        </w:rPr>
        <w:t xml:space="preserve"> </w:t>
      </w:r>
      <w:r w:rsidR="004313E2">
        <w:rPr>
          <w:rFonts w:ascii="Arial" w:hAnsi="Arial" w:cs="Arial"/>
          <w:szCs w:val="24"/>
        </w:rPr>
        <w:t xml:space="preserve">(DPCC) </w:t>
      </w:r>
      <w:r w:rsidR="00BE0C06" w:rsidRPr="004313E2">
        <w:rPr>
          <w:rFonts w:ascii="Arial" w:hAnsi="Arial" w:cs="Arial"/>
          <w:szCs w:val="24"/>
        </w:rPr>
        <w:t xml:space="preserve">is responsible for ensuring that all transfer documentation is complete, including documentation that the transfer summary </w:t>
      </w:r>
      <w:r w:rsidR="004313E2">
        <w:rPr>
          <w:rFonts w:ascii="Arial" w:hAnsi="Arial" w:cs="Arial"/>
          <w:szCs w:val="24"/>
        </w:rPr>
        <w:t>has</w:t>
      </w:r>
      <w:r w:rsidR="00BE0C06" w:rsidRPr="004313E2">
        <w:rPr>
          <w:rFonts w:ascii="Arial" w:hAnsi="Arial" w:cs="Arial"/>
          <w:szCs w:val="24"/>
        </w:rPr>
        <w:t xml:space="preserve"> been </w:t>
      </w:r>
      <w:r w:rsidR="00BE0C06" w:rsidRPr="004313E2">
        <w:rPr>
          <w:rFonts w:ascii="Arial" w:hAnsi="Arial" w:cs="Arial"/>
          <w:szCs w:val="24"/>
        </w:rPr>
        <w:lastRenderedPageBreak/>
        <w:t>forwarded</w:t>
      </w:r>
      <w:r w:rsidR="000B53A8">
        <w:rPr>
          <w:rFonts w:ascii="Arial" w:hAnsi="Arial" w:cs="Arial"/>
          <w:szCs w:val="24"/>
        </w:rPr>
        <w:t xml:space="preserve"> to the receiving facility</w:t>
      </w:r>
      <w:r w:rsidR="00BE0C06" w:rsidRPr="004313E2">
        <w:rPr>
          <w:rFonts w:ascii="Arial" w:hAnsi="Arial" w:cs="Arial"/>
          <w:szCs w:val="24"/>
        </w:rPr>
        <w:t>.</w:t>
      </w:r>
    </w:p>
    <w:p w:rsidR="00AA2BBA" w:rsidRDefault="00D16FFF" w:rsidP="004313E2">
      <w:pPr>
        <w:pStyle w:val="ListParagraph"/>
        <w:numPr>
          <w:ilvl w:val="0"/>
          <w:numId w:val="18"/>
        </w:numPr>
        <w:rPr>
          <w:rFonts w:ascii="Arial" w:hAnsi="Arial" w:cs="Arial"/>
          <w:szCs w:val="24"/>
        </w:rPr>
      </w:pPr>
      <w:r w:rsidRPr="004313E2">
        <w:rPr>
          <w:rFonts w:ascii="Arial" w:hAnsi="Arial" w:cs="Arial"/>
          <w:szCs w:val="24"/>
        </w:rPr>
        <w:t xml:space="preserve">The </w:t>
      </w:r>
      <w:r w:rsidR="004313E2">
        <w:rPr>
          <w:rFonts w:ascii="Arial" w:hAnsi="Arial" w:cs="Arial"/>
          <w:szCs w:val="24"/>
        </w:rPr>
        <w:t>DPCC</w:t>
      </w:r>
      <w:r w:rsidRPr="004313E2">
        <w:rPr>
          <w:rFonts w:ascii="Arial" w:hAnsi="Arial" w:cs="Arial"/>
          <w:szCs w:val="24"/>
        </w:rPr>
        <w:t xml:space="preserve"> ensure</w:t>
      </w:r>
      <w:r w:rsidR="000B53A8">
        <w:rPr>
          <w:rFonts w:ascii="Arial" w:hAnsi="Arial" w:cs="Arial"/>
          <w:szCs w:val="24"/>
        </w:rPr>
        <w:t>s</w:t>
      </w:r>
      <w:r w:rsidRPr="004313E2">
        <w:rPr>
          <w:rFonts w:ascii="Arial" w:hAnsi="Arial" w:cs="Arial"/>
          <w:szCs w:val="24"/>
        </w:rPr>
        <w:t xml:space="preserve"> our </w:t>
      </w:r>
      <w:r w:rsidR="00D8620B">
        <w:rPr>
          <w:rFonts w:ascii="Arial" w:hAnsi="Arial" w:cs="Arial"/>
          <w:szCs w:val="24"/>
        </w:rPr>
        <w:t>Hospital</w:t>
      </w:r>
      <w:r w:rsidR="00BF36DF">
        <w:rPr>
          <w:rFonts w:ascii="Arial" w:hAnsi="Arial" w:cs="Arial"/>
          <w:szCs w:val="24"/>
        </w:rPr>
        <w:t xml:space="preserve"> </w:t>
      </w:r>
      <w:r w:rsidRPr="004313E2">
        <w:rPr>
          <w:rFonts w:ascii="Arial" w:hAnsi="Arial" w:cs="Arial"/>
          <w:szCs w:val="24"/>
        </w:rPr>
        <w:t>Clinical Lia</w:t>
      </w:r>
      <w:r w:rsidR="00BF36DF">
        <w:rPr>
          <w:rFonts w:ascii="Arial" w:hAnsi="Arial" w:cs="Arial"/>
          <w:szCs w:val="24"/>
        </w:rPr>
        <w:t>ison is notified of the transfer either by</w:t>
      </w:r>
      <w:r w:rsidR="005118B2">
        <w:rPr>
          <w:rFonts w:ascii="Arial" w:hAnsi="Arial" w:cs="Arial"/>
          <w:szCs w:val="24"/>
        </w:rPr>
        <w:t xml:space="preserve"> email</w:t>
      </w:r>
      <w:r w:rsidR="00F543C1">
        <w:rPr>
          <w:rFonts w:ascii="Arial" w:hAnsi="Arial" w:cs="Arial"/>
          <w:szCs w:val="24"/>
        </w:rPr>
        <w:t>, telephone</w:t>
      </w:r>
      <w:r w:rsidR="00BF36DF">
        <w:rPr>
          <w:rFonts w:ascii="Arial" w:hAnsi="Arial" w:cs="Arial"/>
          <w:szCs w:val="24"/>
        </w:rPr>
        <w:t xml:space="preserve"> call or text message “</w:t>
      </w:r>
      <w:r w:rsidR="00AA2BBA">
        <w:rPr>
          <w:rFonts w:ascii="Arial" w:hAnsi="Arial" w:cs="Arial"/>
          <w:szCs w:val="24"/>
        </w:rPr>
        <w:t xml:space="preserve">ALERT - </w:t>
      </w:r>
      <w:r w:rsidR="00BF36DF">
        <w:rPr>
          <w:rFonts w:ascii="Arial" w:hAnsi="Arial" w:cs="Arial"/>
          <w:szCs w:val="24"/>
        </w:rPr>
        <w:t>P</w:t>
      </w:r>
      <w:r w:rsidR="00AA2BBA">
        <w:rPr>
          <w:rFonts w:ascii="Arial" w:hAnsi="Arial" w:cs="Arial"/>
          <w:szCs w:val="24"/>
        </w:rPr>
        <w:t>atient</w:t>
      </w:r>
      <w:r w:rsidR="00BF36DF">
        <w:rPr>
          <w:rFonts w:ascii="Arial" w:hAnsi="Arial" w:cs="Arial"/>
          <w:szCs w:val="24"/>
        </w:rPr>
        <w:t xml:space="preserve"> Transferred to “</w:t>
      </w:r>
      <w:r w:rsidR="006D1D01" w:rsidRPr="005A622A">
        <w:rPr>
          <w:rFonts w:ascii="Arial" w:hAnsi="Arial" w:cs="Arial"/>
          <w:i/>
          <w:szCs w:val="24"/>
        </w:rPr>
        <w:t>facility</w:t>
      </w:r>
      <w:r w:rsidR="00BF36DF">
        <w:rPr>
          <w:rFonts w:ascii="Arial" w:hAnsi="Arial" w:cs="Arial"/>
          <w:szCs w:val="24"/>
        </w:rPr>
        <w:t xml:space="preserve">” where </w:t>
      </w:r>
      <w:r w:rsidR="005A622A" w:rsidRPr="005A622A">
        <w:rPr>
          <w:rFonts w:ascii="Arial" w:hAnsi="Arial" w:cs="Arial"/>
          <w:i/>
          <w:szCs w:val="24"/>
        </w:rPr>
        <w:t xml:space="preserve">facility </w:t>
      </w:r>
      <w:r w:rsidR="00BF36DF">
        <w:rPr>
          <w:rFonts w:ascii="Arial" w:hAnsi="Arial" w:cs="Arial"/>
          <w:szCs w:val="24"/>
        </w:rPr>
        <w:t>is the name of the facility</w:t>
      </w:r>
      <w:r w:rsidR="007D616F">
        <w:rPr>
          <w:rFonts w:ascii="Arial" w:hAnsi="Arial" w:cs="Arial"/>
          <w:szCs w:val="24"/>
        </w:rPr>
        <w:t>/hospital</w:t>
      </w:r>
      <w:r w:rsidR="00BF36DF">
        <w:rPr>
          <w:rFonts w:ascii="Arial" w:hAnsi="Arial" w:cs="Arial"/>
          <w:szCs w:val="24"/>
        </w:rPr>
        <w:t>.</w:t>
      </w:r>
      <w:r w:rsidR="00AA2BBA">
        <w:rPr>
          <w:rFonts w:ascii="Arial" w:hAnsi="Arial" w:cs="Arial"/>
          <w:szCs w:val="24"/>
        </w:rPr>
        <w:t xml:space="preserve">  PHI should not be included in text message</w:t>
      </w:r>
      <w:r w:rsidR="007D616F">
        <w:rPr>
          <w:rFonts w:ascii="Arial" w:hAnsi="Arial" w:cs="Arial"/>
          <w:szCs w:val="24"/>
        </w:rPr>
        <w:t>.</w:t>
      </w:r>
    </w:p>
    <w:p w:rsidR="005A622A" w:rsidRDefault="00AA2BBA" w:rsidP="005A622A">
      <w:pPr>
        <w:pStyle w:val="ListParagraph"/>
        <w:rPr>
          <w:rFonts w:ascii="Arial" w:hAnsi="Arial" w:cs="Arial"/>
          <w:szCs w:val="24"/>
        </w:rPr>
      </w:pPr>
      <w:r w:rsidRPr="00AA2BBA">
        <w:rPr>
          <w:rFonts w:ascii="Arial" w:hAnsi="Arial" w:cs="Arial"/>
          <w:szCs w:val="24"/>
        </w:rPr>
        <w:t>The Territory Rep will follow the patient while in the facility and inform case managers that the patient is current under THA Group’s IHC home care services.</w:t>
      </w:r>
    </w:p>
    <w:p w:rsidR="005A622A" w:rsidRDefault="00BE0C06" w:rsidP="005A622A">
      <w:pPr>
        <w:pStyle w:val="ListParagraph"/>
        <w:numPr>
          <w:ilvl w:val="0"/>
          <w:numId w:val="18"/>
        </w:numPr>
        <w:rPr>
          <w:rFonts w:ascii="Arial" w:hAnsi="Arial" w:cs="Arial"/>
          <w:szCs w:val="24"/>
        </w:rPr>
      </w:pPr>
      <w:r w:rsidRPr="00AA2BBA">
        <w:rPr>
          <w:rFonts w:ascii="Arial" w:hAnsi="Arial" w:cs="Arial"/>
          <w:szCs w:val="24"/>
        </w:rPr>
        <w:t xml:space="preserve">The </w:t>
      </w:r>
      <w:r w:rsidR="004313E2" w:rsidRPr="00AA2BBA">
        <w:rPr>
          <w:rFonts w:ascii="Arial" w:hAnsi="Arial" w:cs="Arial"/>
          <w:szCs w:val="24"/>
        </w:rPr>
        <w:t>DPCC</w:t>
      </w:r>
      <w:r w:rsidRPr="00AA2BBA">
        <w:rPr>
          <w:rFonts w:ascii="Arial" w:hAnsi="Arial" w:cs="Arial"/>
          <w:szCs w:val="24"/>
        </w:rPr>
        <w:t xml:space="preserve"> is also responsible </w:t>
      </w:r>
      <w:r w:rsidR="004313E2" w:rsidRPr="00AA2BBA">
        <w:rPr>
          <w:rFonts w:ascii="Arial" w:hAnsi="Arial" w:cs="Arial"/>
          <w:szCs w:val="24"/>
        </w:rPr>
        <w:t xml:space="preserve">for ensuring that </w:t>
      </w:r>
      <w:r w:rsidRPr="00AA2BBA">
        <w:rPr>
          <w:rFonts w:ascii="Arial" w:hAnsi="Arial" w:cs="Arial"/>
          <w:szCs w:val="24"/>
        </w:rPr>
        <w:t>the physician is notified of the transfer and physician notification is documented.</w:t>
      </w:r>
      <w:r w:rsidR="00AA2BBA" w:rsidRPr="00AA2BBA">
        <w:rPr>
          <w:rFonts w:ascii="Arial" w:hAnsi="Arial" w:cs="Arial"/>
          <w:szCs w:val="24"/>
        </w:rPr>
        <w:t xml:space="preserve"> </w:t>
      </w:r>
    </w:p>
    <w:p w:rsidR="0051476B" w:rsidRDefault="00BE0C06" w:rsidP="0051476B">
      <w:pPr>
        <w:pStyle w:val="ListParagraph"/>
        <w:numPr>
          <w:ilvl w:val="0"/>
          <w:numId w:val="18"/>
        </w:numPr>
        <w:rPr>
          <w:rFonts w:ascii="Arial" w:hAnsi="Arial" w:cs="Arial"/>
          <w:szCs w:val="24"/>
        </w:rPr>
      </w:pPr>
      <w:r w:rsidRPr="00AA2BBA">
        <w:rPr>
          <w:rFonts w:ascii="Arial" w:hAnsi="Arial" w:cs="Arial"/>
          <w:szCs w:val="24"/>
        </w:rPr>
        <w:t>The contact in the clinical record will be entered as a “Transfer”</w:t>
      </w:r>
      <w:r w:rsidR="00F543C1">
        <w:rPr>
          <w:rFonts w:ascii="Arial" w:hAnsi="Arial" w:cs="Arial"/>
          <w:szCs w:val="24"/>
        </w:rPr>
        <w:t>.</w:t>
      </w:r>
      <w:r w:rsidR="0051476B" w:rsidRPr="0051476B">
        <w:rPr>
          <w:rFonts w:ascii="Arial" w:hAnsi="Arial" w:cs="Arial"/>
          <w:szCs w:val="24"/>
        </w:rPr>
        <w:t xml:space="preserve"> </w:t>
      </w:r>
    </w:p>
    <w:p w:rsidR="000567EF" w:rsidRPr="0051476B" w:rsidRDefault="0051476B" w:rsidP="0051476B">
      <w:pPr>
        <w:pStyle w:val="ListParagraph"/>
        <w:numPr>
          <w:ilvl w:val="0"/>
          <w:numId w:val="18"/>
        </w:numPr>
        <w:rPr>
          <w:rFonts w:ascii="Arial" w:hAnsi="Arial" w:cs="Arial"/>
          <w:szCs w:val="24"/>
        </w:rPr>
      </w:pPr>
      <w:r w:rsidRPr="0051476B">
        <w:rPr>
          <w:rFonts w:ascii="Arial" w:hAnsi="Arial" w:cs="Arial"/>
          <w:szCs w:val="24"/>
        </w:rPr>
        <w:t xml:space="preserve"> </w:t>
      </w:r>
      <w:r w:rsidR="00BE0C06" w:rsidRPr="0051476B">
        <w:rPr>
          <w:rFonts w:ascii="Arial" w:hAnsi="Arial" w:cs="Arial"/>
          <w:szCs w:val="24"/>
        </w:rPr>
        <w:t xml:space="preserve">For a planned transfer, </w:t>
      </w:r>
      <w:r w:rsidR="004313E2" w:rsidRPr="0051476B">
        <w:rPr>
          <w:rFonts w:ascii="Arial" w:hAnsi="Arial" w:cs="Arial"/>
          <w:szCs w:val="24"/>
        </w:rPr>
        <w:t>the DPCC</w:t>
      </w:r>
      <w:r w:rsidR="00BE0C06" w:rsidRPr="0051476B">
        <w:rPr>
          <w:rFonts w:ascii="Arial" w:hAnsi="Arial" w:cs="Arial"/>
          <w:szCs w:val="24"/>
        </w:rPr>
        <w:t xml:space="preserve"> will ensure: </w:t>
      </w:r>
    </w:p>
    <w:p w:rsidR="000567EF" w:rsidRPr="004313E2" w:rsidRDefault="00BE0C06" w:rsidP="004313E2">
      <w:pPr>
        <w:numPr>
          <w:ilvl w:val="1"/>
          <w:numId w:val="18"/>
        </w:numPr>
        <w:rPr>
          <w:rFonts w:ascii="Arial" w:hAnsi="Arial" w:cs="Arial"/>
          <w:szCs w:val="24"/>
        </w:rPr>
      </w:pPr>
      <w:r w:rsidRPr="004313E2">
        <w:rPr>
          <w:rFonts w:ascii="Arial" w:hAnsi="Arial" w:cs="Arial"/>
          <w:szCs w:val="24"/>
        </w:rPr>
        <w:t>A physician’s order for transfer is obtained</w:t>
      </w:r>
    </w:p>
    <w:p w:rsidR="000567EF" w:rsidRPr="004313E2" w:rsidRDefault="00BE0C06" w:rsidP="004313E2">
      <w:pPr>
        <w:numPr>
          <w:ilvl w:val="1"/>
          <w:numId w:val="18"/>
        </w:numPr>
        <w:rPr>
          <w:rFonts w:ascii="Arial" w:hAnsi="Arial" w:cs="Arial"/>
          <w:szCs w:val="24"/>
        </w:rPr>
      </w:pPr>
      <w:r w:rsidRPr="004313E2">
        <w:rPr>
          <w:rFonts w:ascii="Arial" w:hAnsi="Arial" w:cs="Arial"/>
          <w:szCs w:val="24"/>
        </w:rPr>
        <w:t>The patient and family/caregiver is informed of the transfer arrangements.</w:t>
      </w:r>
    </w:p>
    <w:p w:rsidR="000567EF" w:rsidRPr="004313E2" w:rsidRDefault="00BE0C06" w:rsidP="004313E2">
      <w:pPr>
        <w:numPr>
          <w:ilvl w:val="1"/>
          <w:numId w:val="18"/>
        </w:numPr>
        <w:rPr>
          <w:rFonts w:ascii="Arial" w:hAnsi="Arial" w:cs="Arial"/>
          <w:szCs w:val="24"/>
        </w:rPr>
      </w:pPr>
      <w:r w:rsidRPr="004313E2">
        <w:rPr>
          <w:rFonts w:ascii="Arial" w:hAnsi="Arial" w:cs="Arial"/>
          <w:szCs w:val="24"/>
        </w:rPr>
        <w:t>The patient and family/caregiver is involved in the transfer.</w:t>
      </w:r>
    </w:p>
    <w:p w:rsidR="000567EF" w:rsidRPr="004313E2" w:rsidRDefault="00BE0C06" w:rsidP="004313E2">
      <w:pPr>
        <w:numPr>
          <w:ilvl w:val="1"/>
          <w:numId w:val="18"/>
        </w:numPr>
        <w:rPr>
          <w:rFonts w:ascii="Arial" w:hAnsi="Arial" w:cs="Arial"/>
          <w:szCs w:val="24"/>
        </w:rPr>
      </w:pPr>
      <w:r w:rsidRPr="004313E2">
        <w:rPr>
          <w:rFonts w:ascii="Arial" w:hAnsi="Arial" w:cs="Arial"/>
          <w:szCs w:val="24"/>
        </w:rPr>
        <w:t>Serves as a liaison between the patient, the family/caregiver, the receiving organization and the physician relative to the transfer arrangements.</w:t>
      </w:r>
    </w:p>
    <w:p w:rsidR="0079578B" w:rsidRPr="004313E2" w:rsidRDefault="00BE0C06" w:rsidP="004313E2">
      <w:pPr>
        <w:numPr>
          <w:ilvl w:val="1"/>
          <w:numId w:val="18"/>
        </w:numPr>
        <w:rPr>
          <w:rFonts w:ascii="Arial" w:hAnsi="Arial" w:cs="Arial"/>
          <w:szCs w:val="24"/>
        </w:rPr>
      </w:pPr>
      <w:r w:rsidRPr="004313E2">
        <w:rPr>
          <w:rFonts w:ascii="Arial" w:hAnsi="Arial" w:cs="Arial"/>
          <w:szCs w:val="24"/>
        </w:rPr>
        <w:t>All disciplines involved in the patient’s care are notified of the transfer</w:t>
      </w:r>
      <w:r w:rsidR="00C13273">
        <w:rPr>
          <w:rFonts w:ascii="Arial" w:hAnsi="Arial" w:cs="Arial"/>
          <w:szCs w:val="24"/>
        </w:rPr>
        <w:t>.</w:t>
      </w:r>
    </w:p>
    <w:p w:rsidR="0079578B" w:rsidRPr="004313E2" w:rsidRDefault="00BE0C06" w:rsidP="004313E2">
      <w:pPr>
        <w:numPr>
          <w:ilvl w:val="0"/>
          <w:numId w:val="18"/>
        </w:numPr>
        <w:rPr>
          <w:rFonts w:ascii="Arial" w:hAnsi="Arial" w:cs="Arial"/>
          <w:szCs w:val="24"/>
        </w:rPr>
      </w:pPr>
      <w:r w:rsidRPr="004313E2">
        <w:rPr>
          <w:rFonts w:ascii="Arial" w:hAnsi="Arial" w:cs="Arial"/>
          <w:szCs w:val="24"/>
        </w:rPr>
        <w:t xml:space="preserve">For an unplanned transfer, the </w:t>
      </w:r>
      <w:r w:rsidR="004463A6" w:rsidRPr="004313E2">
        <w:rPr>
          <w:rFonts w:ascii="Arial" w:hAnsi="Arial" w:cs="Arial"/>
          <w:szCs w:val="24"/>
        </w:rPr>
        <w:t>director of patient care</w:t>
      </w:r>
      <w:r w:rsidRPr="004313E2">
        <w:rPr>
          <w:rFonts w:ascii="Arial" w:hAnsi="Arial" w:cs="Arial"/>
          <w:szCs w:val="24"/>
        </w:rPr>
        <w:t xml:space="preserve"> will ensure:</w:t>
      </w:r>
    </w:p>
    <w:p w:rsidR="0079578B" w:rsidRPr="004313E2" w:rsidRDefault="00BE0C06" w:rsidP="004313E2">
      <w:pPr>
        <w:numPr>
          <w:ilvl w:val="1"/>
          <w:numId w:val="18"/>
        </w:numPr>
        <w:rPr>
          <w:rFonts w:ascii="Arial" w:hAnsi="Arial" w:cs="Arial"/>
          <w:szCs w:val="24"/>
        </w:rPr>
      </w:pPr>
      <w:r w:rsidRPr="004313E2">
        <w:rPr>
          <w:rFonts w:ascii="Arial" w:hAnsi="Arial" w:cs="Arial"/>
          <w:szCs w:val="24"/>
        </w:rPr>
        <w:t>The physician is notified of the transfer.</w:t>
      </w:r>
    </w:p>
    <w:p w:rsidR="0079578B" w:rsidRPr="004313E2" w:rsidRDefault="00BE0C06" w:rsidP="004313E2">
      <w:pPr>
        <w:numPr>
          <w:ilvl w:val="1"/>
          <w:numId w:val="18"/>
        </w:numPr>
        <w:rPr>
          <w:rFonts w:ascii="Arial" w:hAnsi="Arial" w:cs="Arial"/>
          <w:szCs w:val="24"/>
        </w:rPr>
      </w:pPr>
      <w:r w:rsidRPr="004313E2">
        <w:rPr>
          <w:rFonts w:ascii="Arial" w:hAnsi="Arial" w:cs="Arial"/>
          <w:szCs w:val="24"/>
        </w:rPr>
        <w:t>The receiving organization is contacted to determine the reason for transfer</w:t>
      </w:r>
      <w:r w:rsidR="000B53A8">
        <w:rPr>
          <w:rFonts w:ascii="Arial" w:hAnsi="Arial" w:cs="Arial"/>
          <w:szCs w:val="24"/>
        </w:rPr>
        <w:t xml:space="preserve"> if necessary</w:t>
      </w:r>
      <w:r w:rsidRPr="004313E2">
        <w:rPr>
          <w:rFonts w:ascii="Arial" w:hAnsi="Arial" w:cs="Arial"/>
          <w:szCs w:val="24"/>
        </w:rPr>
        <w:t>.</w:t>
      </w:r>
    </w:p>
    <w:p w:rsidR="0079578B" w:rsidRPr="004313E2" w:rsidRDefault="00BE0C06" w:rsidP="004313E2">
      <w:pPr>
        <w:numPr>
          <w:ilvl w:val="1"/>
          <w:numId w:val="18"/>
        </w:numPr>
        <w:rPr>
          <w:rFonts w:ascii="Arial" w:hAnsi="Arial" w:cs="Arial"/>
          <w:szCs w:val="24"/>
        </w:rPr>
      </w:pPr>
      <w:r w:rsidRPr="004313E2">
        <w:rPr>
          <w:rFonts w:ascii="Arial" w:hAnsi="Arial" w:cs="Arial"/>
          <w:szCs w:val="24"/>
        </w:rPr>
        <w:t>All disciplines involved in the patient’s care are notified of the transfer.</w:t>
      </w:r>
    </w:p>
    <w:p w:rsidR="000567EF" w:rsidRPr="004313E2" w:rsidRDefault="00D15F27" w:rsidP="004313E2">
      <w:pPr>
        <w:numPr>
          <w:ilvl w:val="0"/>
          <w:numId w:val="18"/>
        </w:numPr>
        <w:rPr>
          <w:rFonts w:ascii="Arial" w:hAnsi="Arial" w:cs="Arial"/>
          <w:szCs w:val="24"/>
        </w:rPr>
      </w:pPr>
      <w:r w:rsidRPr="004313E2">
        <w:rPr>
          <w:rFonts w:ascii="Arial" w:hAnsi="Arial" w:cs="Arial"/>
          <w:szCs w:val="24"/>
        </w:rPr>
        <w:t>The Transfer</w:t>
      </w:r>
      <w:r w:rsidR="00BE0C06" w:rsidRPr="004313E2">
        <w:rPr>
          <w:rFonts w:ascii="Arial" w:hAnsi="Arial" w:cs="Arial"/>
          <w:szCs w:val="24"/>
        </w:rPr>
        <w:t xml:space="preserve"> Summary and Transfer fax cover sheet are faxed to the receiving facility within 48 hours of the transfer.</w:t>
      </w:r>
    </w:p>
    <w:p w:rsidR="0079578B" w:rsidRPr="004313E2" w:rsidRDefault="008C2573" w:rsidP="004313E2">
      <w:pPr>
        <w:numPr>
          <w:ilvl w:val="0"/>
          <w:numId w:val="18"/>
        </w:numPr>
        <w:rPr>
          <w:rFonts w:ascii="Arial" w:hAnsi="Arial" w:cs="Arial"/>
          <w:szCs w:val="24"/>
        </w:rPr>
      </w:pPr>
      <w:r w:rsidRPr="004313E2">
        <w:rPr>
          <w:rFonts w:ascii="Arial" w:hAnsi="Arial" w:cs="Arial"/>
          <w:szCs w:val="24"/>
        </w:rPr>
        <w:t xml:space="preserve"> The </w:t>
      </w:r>
      <w:r w:rsidR="00F35D45">
        <w:rPr>
          <w:rFonts w:ascii="Arial" w:hAnsi="Arial" w:cs="Arial"/>
          <w:szCs w:val="24"/>
        </w:rPr>
        <w:t>T</w:t>
      </w:r>
      <w:r w:rsidR="00BE0C06" w:rsidRPr="004313E2">
        <w:rPr>
          <w:rFonts w:ascii="Arial" w:hAnsi="Arial" w:cs="Arial"/>
          <w:szCs w:val="24"/>
        </w:rPr>
        <w:t>ransfer OASIS is completed by the</w:t>
      </w:r>
      <w:r w:rsidR="005118B2">
        <w:rPr>
          <w:rFonts w:ascii="Arial" w:hAnsi="Arial" w:cs="Arial"/>
          <w:szCs w:val="24"/>
        </w:rPr>
        <w:t xml:space="preserve"> first primary clinician notified of transfer</w:t>
      </w:r>
      <w:r w:rsidR="00BE0C06" w:rsidRPr="004313E2">
        <w:rPr>
          <w:rFonts w:ascii="Arial" w:hAnsi="Arial" w:cs="Arial"/>
          <w:szCs w:val="24"/>
        </w:rPr>
        <w:t>.</w:t>
      </w:r>
    </w:p>
    <w:p w:rsidR="000567EF" w:rsidRPr="004313E2" w:rsidRDefault="00BE0C06" w:rsidP="004313E2">
      <w:pPr>
        <w:numPr>
          <w:ilvl w:val="0"/>
          <w:numId w:val="18"/>
        </w:numPr>
        <w:rPr>
          <w:rFonts w:ascii="Arial" w:hAnsi="Arial" w:cs="Arial"/>
          <w:szCs w:val="24"/>
        </w:rPr>
      </w:pPr>
      <w:r w:rsidRPr="004313E2">
        <w:rPr>
          <w:rFonts w:ascii="Arial" w:hAnsi="Arial" w:cs="Arial"/>
          <w:szCs w:val="24"/>
        </w:rPr>
        <w:t xml:space="preserve">The </w:t>
      </w:r>
      <w:r w:rsidR="00F35D45">
        <w:rPr>
          <w:rFonts w:ascii="Arial" w:hAnsi="Arial" w:cs="Arial"/>
          <w:szCs w:val="24"/>
        </w:rPr>
        <w:t>T</w:t>
      </w:r>
      <w:r w:rsidRPr="004313E2">
        <w:rPr>
          <w:rFonts w:ascii="Arial" w:hAnsi="Arial" w:cs="Arial"/>
          <w:szCs w:val="24"/>
        </w:rPr>
        <w:t>ransfer information includes:</w:t>
      </w:r>
    </w:p>
    <w:p w:rsidR="000567EF" w:rsidRPr="004313E2" w:rsidRDefault="00BE0C06" w:rsidP="004313E2">
      <w:pPr>
        <w:numPr>
          <w:ilvl w:val="1"/>
          <w:numId w:val="18"/>
        </w:numPr>
        <w:rPr>
          <w:rFonts w:ascii="Arial" w:hAnsi="Arial" w:cs="Arial"/>
          <w:szCs w:val="24"/>
        </w:rPr>
      </w:pPr>
      <w:r w:rsidRPr="004313E2">
        <w:rPr>
          <w:rFonts w:ascii="Arial" w:hAnsi="Arial" w:cs="Arial"/>
          <w:szCs w:val="24"/>
        </w:rPr>
        <w:t>The reason for transfer.</w:t>
      </w:r>
    </w:p>
    <w:p w:rsidR="000567EF" w:rsidRPr="004313E2" w:rsidRDefault="00BE0C06" w:rsidP="004313E2">
      <w:pPr>
        <w:numPr>
          <w:ilvl w:val="1"/>
          <w:numId w:val="18"/>
        </w:numPr>
        <w:rPr>
          <w:rFonts w:ascii="Arial" w:hAnsi="Arial" w:cs="Arial"/>
          <w:szCs w:val="24"/>
        </w:rPr>
      </w:pPr>
      <w:r w:rsidRPr="004313E2">
        <w:rPr>
          <w:rFonts w:ascii="Arial" w:hAnsi="Arial" w:cs="Arial"/>
          <w:szCs w:val="24"/>
        </w:rPr>
        <w:t>The physical and psychosocial status at the time of transfer, including specific medical, psychosocial, or other problems requiring interventions or follow-up.</w:t>
      </w:r>
    </w:p>
    <w:p w:rsidR="000567EF" w:rsidRPr="004313E2" w:rsidRDefault="00BE0C06" w:rsidP="004313E2">
      <w:pPr>
        <w:numPr>
          <w:ilvl w:val="1"/>
          <w:numId w:val="18"/>
        </w:numPr>
        <w:rPr>
          <w:rFonts w:ascii="Arial" w:hAnsi="Arial" w:cs="Arial"/>
          <w:szCs w:val="24"/>
        </w:rPr>
      </w:pPr>
      <w:r w:rsidRPr="004313E2">
        <w:rPr>
          <w:rFonts w:ascii="Arial" w:hAnsi="Arial" w:cs="Arial"/>
          <w:szCs w:val="24"/>
        </w:rPr>
        <w:t>Continuing symptom management needs.</w:t>
      </w:r>
    </w:p>
    <w:p w:rsidR="000567EF" w:rsidRPr="004313E2" w:rsidRDefault="00BE0C06" w:rsidP="004313E2">
      <w:pPr>
        <w:numPr>
          <w:ilvl w:val="1"/>
          <w:numId w:val="18"/>
        </w:numPr>
        <w:rPr>
          <w:rFonts w:ascii="Arial" w:hAnsi="Arial" w:cs="Arial"/>
          <w:szCs w:val="24"/>
        </w:rPr>
      </w:pPr>
      <w:r w:rsidRPr="004313E2">
        <w:rPr>
          <w:rFonts w:ascii="Arial" w:hAnsi="Arial" w:cs="Arial"/>
          <w:szCs w:val="24"/>
        </w:rPr>
        <w:t>Medication profile with all current medication.</w:t>
      </w:r>
    </w:p>
    <w:p w:rsidR="000567EF" w:rsidRPr="004313E2" w:rsidRDefault="00BE0C06" w:rsidP="004313E2">
      <w:pPr>
        <w:numPr>
          <w:ilvl w:val="1"/>
          <w:numId w:val="18"/>
        </w:numPr>
        <w:rPr>
          <w:rFonts w:ascii="Arial" w:hAnsi="Arial" w:cs="Arial"/>
          <w:szCs w:val="24"/>
        </w:rPr>
      </w:pPr>
      <w:r w:rsidRPr="004313E2">
        <w:rPr>
          <w:rFonts w:ascii="Arial" w:hAnsi="Arial" w:cs="Arial"/>
          <w:szCs w:val="24"/>
        </w:rPr>
        <w:t>A summary of the care provided.</w:t>
      </w:r>
    </w:p>
    <w:p w:rsidR="000567EF" w:rsidRPr="004313E2" w:rsidRDefault="00BE0C06" w:rsidP="004313E2">
      <w:pPr>
        <w:numPr>
          <w:ilvl w:val="1"/>
          <w:numId w:val="18"/>
        </w:numPr>
        <w:rPr>
          <w:rFonts w:ascii="Arial" w:hAnsi="Arial" w:cs="Arial"/>
          <w:szCs w:val="24"/>
        </w:rPr>
      </w:pPr>
      <w:r w:rsidRPr="004313E2">
        <w:rPr>
          <w:rFonts w:ascii="Arial" w:hAnsi="Arial" w:cs="Arial"/>
          <w:szCs w:val="24"/>
        </w:rPr>
        <w:t>Any instructions and/or referrals provided to the patient.</w:t>
      </w:r>
    </w:p>
    <w:p w:rsidR="000567EF" w:rsidRPr="004313E2" w:rsidRDefault="00BE0C06" w:rsidP="004313E2">
      <w:pPr>
        <w:numPr>
          <w:ilvl w:val="1"/>
          <w:numId w:val="18"/>
        </w:numPr>
        <w:rPr>
          <w:rFonts w:ascii="Arial" w:hAnsi="Arial" w:cs="Arial"/>
          <w:szCs w:val="24"/>
        </w:rPr>
      </w:pPr>
      <w:r w:rsidRPr="004313E2">
        <w:rPr>
          <w:rFonts w:ascii="Arial" w:hAnsi="Arial" w:cs="Arial"/>
          <w:szCs w:val="24"/>
        </w:rPr>
        <w:t>The existence of any Advance Directives known to the organization.</w:t>
      </w:r>
    </w:p>
    <w:p w:rsidR="000567EF" w:rsidRPr="004313E2" w:rsidRDefault="00BE0C06" w:rsidP="004313E2">
      <w:pPr>
        <w:numPr>
          <w:ilvl w:val="1"/>
          <w:numId w:val="18"/>
        </w:numPr>
        <w:rPr>
          <w:rFonts w:ascii="Arial" w:hAnsi="Arial" w:cs="Arial"/>
          <w:szCs w:val="24"/>
        </w:rPr>
      </w:pPr>
      <w:r w:rsidRPr="004313E2">
        <w:rPr>
          <w:rFonts w:ascii="Arial" w:hAnsi="Arial" w:cs="Arial"/>
          <w:szCs w:val="24"/>
        </w:rPr>
        <w:t>The date of transfer.</w:t>
      </w:r>
    </w:p>
    <w:p w:rsidR="000B53A8" w:rsidRDefault="00BE0C06" w:rsidP="000B53A8">
      <w:pPr>
        <w:numPr>
          <w:ilvl w:val="0"/>
          <w:numId w:val="18"/>
        </w:numPr>
        <w:rPr>
          <w:rFonts w:ascii="Arial" w:hAnsi="Arial" w:cs="Arial"/>
          <w:szCs w:val="24"/>
        </w:rPr>
      </w:pPr>
      <w:r w:rsidRPr="004313E2">
        <w:rPr>
          <w:rFonts w:ascii="Arial" w:hAnsi="Arial" w:cs="Arial"/>
          <w:szCs w:val="24"/>
        </w:rPr>
        <w:t xml:space="preserve">All communication with the receiving provider, physician, and patient is documented in the patient’s clinical record. </w:t>
      </w:r>
    </w:p>
    <w:p w:rsidR="003A47BF" w:rsidRDefault="003A47BF" w:rsidP="003A47BF">
      <w:pPr>
        <w:ind w:left="720"/>
        <w:rPr>
          <w:rFonts w:ascii="Arial" w:hAnsi="Arial" w:cs="Arial"/>
          <w:b/>
          <w:szCs w:val="24"/>
        </w:rPr>
      </w:pPr>
    </w:p>
    <w:p w:rsidR="000B53A8" w:rsidRDefault="005A622A" w:rsidP="003A47BF">
      <w:pPr>
        <w:rPr>
          <w:rFonts w:ascii="Arial" w:hAnsi="Arial" w:cs="Arial"/>
          <w:b/>
          <w:szCs w:val="24"/>
          <w:u w:val="single"/>
        </w:rPr>
      </w:pPr>
      <w:r w:rsidRPr="00BC5128">
        <w:rPr>
          <w:rFonts w:ascii="Arial" w:hAnsi="Arial" w:cs="Arial"/>
          <w:b/>
          <w:szCs w:val="24"/>
          <w:u w:val="single"/>
        </w:rPr>
        <w:t>PROCEDURE</w:t>
      </w:r>
      <w:r w:rsidR="00BC5128" w:rsidRPr="00BC5128">
        <w:rPr>
          <w:rFonts w:ascii="Arial" w:hAnsi="Arial" w:cs="Arial"/>
          <w:b/>
          <w:szCs w:val="24"/>
          <w:u w:val="single"/>
        </w:rPr>
        <w:t xml:space="preserve"> – </w:t>
      </w:r>
      <w:r w:rsidRPr="00BC5128">
        <w:rPr>
          <w:rFonts w:ascii="Arial" w:hAnsi="Arial" w:cs="Arial"/>
          <w:b/>
          <w:szCs w:val="24"/>
          <w:u w:val="single"/>
        </w:rPr>
        <w:t>RIGHTHEALTH</w:t>
      </w:r>
    </w:p>
    <w:p w:rsidR="00BC5128" w:rsidRPr="00BC5128" w:rsidRDefault="00BC5128" w:rsidP="003A47BF">
      <w:pPr>
        <w:rPr>
          <w:rFonts w:ascii="Arial" w:hAnsi="Arial" w:cs="Arial"/>
          <w:b/>
          <w:szCs w:val="24"/>
          <w:u w:val="single"/>
        </w:rPr>
      </w:pPr>
    </w:p>
    <w:p w:rsidR="006D1D01" w:rsidRDefault="005A622A" w:rsidP="00BC5128">
      <w:pPr>
        <w:numPr>
          <w:ilvl w:val="0"/>
          <w:numId w:val="21"/>
        </w:numPr>
        <w:rPr>
          <w:rFonts w:ascii="Arial" w:hAnsi="Arial" w:cs="Arial"/>
          <w:szCs w:val="24"/>
        </w:rPr>
      </w:pPr>
      <w:r w:rsidRPr="005A622A">
        <w:rPr>
          <w:rFonts w:ascii="Arial" w:hAnsi="Arial" w:cs="Arial"/>
          <w:szCs w:val="24"/>
        </w:rPr>
        <w:t>The Telehealth/Telehealth RN is responsible for ensuring that all transfer documentation is complete, including documentation that the transfer summary has been forwarded to the receiving facility.</w:t>
      </w:r>
    </w:p>
    <w:p w:rsidR="006D1D01" w:rsidRDefault="000B34CB" w:rsidP="00BC5128">
      <w:pPr>
        <w:numPr>
          <w:ilvl w:val="0"/>
          <w:numId w:val="21"/>
        </w:numPr>
        <w:rPr>
          <w:rFonts w:ascii="Arial" w:hAnsi="Arial" w:cs="Arial"/>
          <w:szCs w:val="24"/>
        </w:rPr>
      </w:pPr>
      <w:r w:rsidRPr="004313E2">
        <w:rPr>
          <w:rFonts w:ascii="Arial" w:hAnsi="Arial" w:cs="Arial"/>
          <w:szCs w:val="24"/>
        </w:rPr>
        <w:t xml:space="preserve">The </w:t>
      </w:r>
      <w:r>
        <w:rPr>
          <w:rFonts w:ascii="Arial" w:hAnsi="Arial" w:cs="Arial"/>
          <w:szCs w:val="24"/>
        </w:rPr>
        <w:t>Telehealth/Telehealth RN</w:t>
      </w:r>
      <w:r w:rsidRPr="004313E2">
        <w:rPr>
          <w:rFonts w:ascii="Arial" w:hAnsi="Arial" w:cs="Arial"/>
          <w:szCs w:val="24"/>
        </w:rPr>
        <w:t xml:space="preserve"> </w:t>
      </w:r>
      <w:r>
        <w:rPr>
          <w:rFonts w:ascii="Arial" w:hAnsi="Arial" w:cs="Arial"/>
          <w:szCs w:val="24"/>
        </w:rPr>
        <w:t xml:space="preserve"> </w:t>
      </w:r>
      <w:r w:rsidRPr="004313E2">
        <w:rPr>
          <w:rFonts w:ascii="Arial" w:hAnsi="Arial" w:cs="Arial"/>
          <w:szCs w:val="24"/>
        </w:rPr>
        <w:t>ensure</w:t>
      </w:r>
      <w:r>
        <w:rPr>
          <w:rFonts w:ascii="Arial" w:hAnsi="Arial" w:cs="Arial"/>
          <w:szCs w:val="24"/>
        </w:rPr>
        <w:t>s</w:t>
      </w:r>
      <w:r w:rsidRPr="004313E2">
        <w:rPr>
          <w:rFonts w:ascii="Arial" w:hAnsi="Arial" w:cs="Arial"/>
          <w:szCs w:val="24"/>
        </w:rPr>
        <w:t xml:space="preserve"> our </w:t>
      </w:r>
      <w:r>
        <w:rPr>
          <w:rFonts w:ascii="Arial" w:hAnsi="Arial" w:cs="Arial"/>
          <w:szCs w:val="24"/>
        </w:rPr>
        <w:t xml:space="preserve">Hospital </w:t>
      </w:r>
      <w:r w:rsidRPr="004313E2">
        <w:rPr>
          <w:rFonts w:ascii="Arial" w:hAnsi="Arial" w:cs="Arial"/>
          <w:szCs w:val="24"/>
        </w:rPr>
        <w:t>Clinical Lia</w:t>
      </w:r>
      <w:r>
        <w:rPr>
          <w:rFonts w:ascii="Arial" w:hAnsi="Arial" w:cs="Arial"/>
          <w:szCs w:val="24"/>
        </w:rPr>
        <w:t>ison is notified of the transfer either by telephone call or text message “ALERT - Patient Transferred to “</w:t>
      </w:r>
      <w:r w:rsidR="003A47BF" w:rsidRPr="005A622A">
        <w:rPr>
          <w:rFonts w:ascii="Arial" w:hAnsi="Arial" w:cs="Arial"/>
          <w:szCs w:val="24"/>
        </w:rPr>
        <w:t>facility</w:t>
      </w:r>
      <w:r>
        <w:rPr>
          <w:rFonts w:ascii="Arial" w:hAnsi="Arial" w:cs="Arial"/>
          <w:szCs w:val="24"/>
        </w:rPr>
        <w:t xml:space="preserve">” where </w:t>
      </w:r>
      <w:r w:rsidR="005A622A" w:rsidRPr="005A622A">
        <w:rPr>
          <w:rFonts w:ascii="Arial" w:hAnsi="Arial" w:cs="Arial"/>
          <w:szCs w:val="24"/>
        </w:rPr>
        <w:t xml:space="preserve">facility </w:t>
      </w:r>
      <w:r>
        <w:rPr>
          <w:rFonts w:ascii="Arial" w:hAnsi="Arial" w:cs="Arial"/>
          <w:szCs w:val="24"/>
        </w:rPr>
        <w:t>is the name of the facility</w:t>
      </w:r>
      <w:r w:rsidR="007D616F">
        <w:rPr>
          <w:rFonts w:ascii="Arial" w:hAnsi="Arial" w:cs="Arial"/>
          <w:szCs w:val="24"/>
        </w:rPr>
        <w:t>/hospital</w:t>
      </w:r>
      <w:r>
        <w:rPr>
          <w:rFonts w:ascii="Arial" w:hAnsi="Arial" w:cs="Arial"/>
          <w:szCs w:val="24"/>
        </w:rPr>
        <w:t>.  PHI should not be included in text message</w:t>
      </w:r>
      <w:r w:rsidR="007D616F">
        <w:rPr>
          <w:rFonts w:ascii="Arial" w:hAnsi="Arial" w:cs="Arial"/>
          <w:szCs w:val="24"/>
        </w:rPr>
        <w:t>.</w:t>
      </w:r>
      <w:r w:rsidR="00FB46E1">
        <w:rPr>
          <w:rFonts w:ascii="Arial" w:hAnsi="Arial" w:cs="Arial"/>
          <w:szCs w:val="24"/>
        </w:rPr>
        <w:br/>
      </w:r>
      <w:r w:rsidR="00FB46E1" w:rsidRPr="00FB46E1">
        <w:rPr>
          <w:rFonts w:ascii="Arial" w:hAnsi="Arial" w:cs="Arial"/>
          <w:szCs w:val="24"/>
        </w:rPr>
        <w:t>The Telehealth/Telehealth RN  also documents in the Communication note the name of the Territory Rep notified.</w:t>
      </w:r>
    </w:p>
    <w:p w:rsidR="006D1D01" w:rsidRDefault="000B34CB" w:rsidP="00BC5128">
      <w:pPr>
        <w:numPr>
          <w:ilvl w:val="0"/>
          <w:numId w:val="21"/>
        </w:numPr>
        <w:rPr>
          <w:rFonts w:ascii="Arial" w:hAnsi="Arial" w:cs="Arial"/>
          <w:szCs w:val="24"/>
        </w:rPr>
      </w:pPr>
      <w:r w:rsidRPr="00FB46E1">
        <w:rPr>
          <w:rFonts w:ascii="Arial" w:hAnsi="Arial" w:cs="Arial"/>
          <w:szCs w:val="24"/>
        </w:rPr>
        <w:t>The Territory Rep will follow the patient while in the facility and inform case managers that the patient is current under THA Group’s RightHealth</w:t>
      </w:r>
      <w:r w:rsidR="007D616F">
        <w:rPr>
          <w:rFonts w:ascii="Arial" w:hAnsi="Arial" w:cs="Arial"/>
          <w:szCs w:val="24"/>
        </w:rPr>
        <w:t xml:space="preserve"> </w:t>
      </w:r>
      <w:r w:rsidRPr="00FB46E1">
        <w:rPr>
          <w:rFonts w:ascii="Arial" w:hAnsi="Arial" w:cs="Arial"/>
          <w:szCs w:val="24"/>
        </w:rPr>
        <w:t>services.</w:t>
      </w:r>
    </w:p>
    <w:p w:rsidR="005A622A" w:rsidRPr="00C13273" w:rsidRDefault="000B34CB" w:rsidP="00BC5128">
      <w:pPr>
        <w:numPr>
          <w:ilvl w:val="0"/>
          <w:numId w:val="21"/>
        </w:numPr>
        <w:rPr>
          <w:rFonts w:ascii="Arial" w:hAnsi="Arial" w:cs="Arial"/>
          <w:szCs w:val="24"/>
        </w:rPr>
      </w:pPr>
      <w:r w:rsidRPr="000B34CB">
        <w:rPr>
          <w:rFonts w:ascii="Arial" w:hAnsi="Arial" w:cs="Arial"/>
          <w:szCs w:val="24"/>
        </w:rPr>
        <w:t>The Telehealth/Telehealth RN  is also responsible for ensuring that the physician is notified of the transfer and physician notification is documented.</w:t>
      </w:r>
      <w:r w:rsidR="00C13273">
        <w:rPr>
          <w:rFonts w:ascii="Arial" w:hAnsi="Arial" w:cs="Arial"/>
          <w:szCs w:val="24"/>
        </w:rPr>
        <w:t xml:space="preserve"> </w:t>
      </w:r>
      <w:r>
        <w:rPr>
          <w:rFonts w:ascii="Arial" w:hAnsi="Arial" w:cs="Arial"/>
          <w:szCs w:val="24"/>
        </w:rPr>
        <w:t>Telehealth trends will be sent to the Physician.</w:t>
      </w:r>
    </w:p>
    <w:p w:rsidR="005A622A" w:rsidRPr="00C13273" w:rsidRDefault="00C13273" w:rsidP="00BC5128">
      <w:pPr>
        <w:numPr>
          <w:ilvl w:val="0"/>
          <w:numId w:val="21"/>
        </w:numPr>
        <w:rPr>
          <w:rFonts w:ascii="Arial" w:hAnsi="Arial" w:cs="Arial"/>
          <w:szCs w:val="24"/>
        </w:rPr>
      </w:pPr>
      <w:r w:rsidRPr="005A622A">
        <w:rPr>
          <w:rFonts w:ascii="Arial" w:hAnsi="Arial" w:cs="Arial"/>
          <w:szCs w:val="24"/>
        </w:rPr>
        <w:t>The Telehealth/Telehealth RN</w:t>
      </w:r>
      <w:r w:rsidRPr="00C13273">
        <w:rPr>
          <w:rFonts w:ascii="Arial" w:hAnsi="Arial" w:cs="Arial"/>
          <w:szCs w:val="24"/>
        </w:rPr>
        <w:t xml:space="preserve"> </w:t>
      </w:r>
      <w:r>
        <w:rPr>
          <w:rFonts w:ascii="Arial" w:hAnsi="Arial" w:cs="Arial"/>
          <w:szCs w:val="24"/>
        </w:rPr>
        <w:t>s</w:t>
      </w:r>
      <w:r w:rsidR="000B34CB" w:rsidRPr="00C13273">
        <w:rPr>
          <w:rFonts w:ascii="Arial" w:hAnsi="Arial" w:cs="Arial"/>
          <w:szCs w:val="24"/>
        </w:rPr>
        <w:t>erves as a liaison between the Territory rep, patient, the family/caregiver, the receiving organization and the physician relative to the transfer arrangements.</w:t>
      </w:r>
    </w:p>
    <w:p w:rsidR="0051476B" w:rsidRPr="0051476B" w:rsidRDefault="0051476B" w:rsidP="0051476B">
      <w:pPr>
        <w:ind w:left="360"/>
        <w:rPr>
          <w:rFonts w:ascii="Arial" w:hAnsi="Arial" w:cs="Arial"/>
          <w:szCs w:val="24"/>
        </w:rPr>
      </w:pPr>
      <w:r>
        <w:rPr>
          <w:rFonts w:ascii="Arial" w:hAnsi="Arial" w:cs="Arial"/>
          <w:szCs w:val="24"/>
        </w:rPr>
        <w:t xml:space="preserve">6.  </w:t>
      </w:r>
      <w:r w:rsidR="000B34CB" w:rsidRPr="00C13273">
        <w:rPr>
          <w:rFonts w:ascii="Arial" w:hAnsi="Arial" w:cs="Arial"/>
          <w:szCs w:val="24"/>
        </w:rPr>
        <w:t>All disciplines involved in the patient</w:t>
      </w:r>
      <w:r w:rsidR="000B34CB" w:rsidRPr="004313E2">
        <w:rPr>
          <w:rFonts w:ascii="Arial" w:hAnsi="Arial" w:cs="Arial"/>
          <w:szCs w:val="24"/>
        </w:rPr>
        <w:t>’s care are notified of the transfer</w:t>
      </w:r>
      <w:r w:rsidR="00C13273">
        <w:rPr>
          <w:rFonts w:ascii="Arial" w:hAnsi="Arial" w:cs="Arial"/>
          <w:szCs w:val="24"/>
        </w:rPr>
        <w:t>.</w:t>
      </w:r>
    </w:p>
    <w:p w:rsidR="006D1D01" w:rsidRPr="0051476B" w:rsidRDefault="00F543C1" w:rsidP="00F543C1">
      <w:pPr>
        <w:widowControl/>
        <w:ind w:left="360"/>
        <w:rPr>
          <w:rFonts w:ascii="Arial" w:hAnsi="Arial" w:cs="Arial"/>
          <w:szCs w:val="24"/>
        </w:rPr>
      </w:pPr>
      <w:r>
        <w:rPr>
          <w:rFonts w:ascii="Arial" w:hAnsi="Arial" w:cs="Arial"/>
          <w:szCs w:val="24"/>
        </w:rPr>
        <w:t xml:space="preserve">7.  </w:t>
      </w:r>
      <w:r w:rsidR="000B34CB" w:rsidRPr="0051476B">
        <w:rPr>
          <w:rFonts w:ascii="Arial" w:hAnsi="Arial" w:cs="Arial"/>
          <w:szCs w:val="24"/>
        </w:rPr>
        <w:t>For an unplanned transfer, the Telehealth/Telehealth RN will ensure:</w:t>
      </w:r>
    </w:p>
    <w:p w:rsidR="006D1D01" w:rsidRDefault="000B34CB" w:rsidP="00C16C0E">
      <w:pPr>
        <w:numPr>
          <w:ilvl w:val="1"/>
          <w:numId w:val="21"/>
        </w:numPr>
        <w:rPr>
          <w:rFonts w:ascii="Arial" w:hAnsi="Arial" w:cs="Arial"/>
          <w:szCs w:val="24"/>
        </w:rPr>
      </w:pPr>
      <w:r w:rsidRPr="004313E2">
        <w:rPr>
          <w:rFonts w:ascii="Arial" w:hAnsi="Arial" w:cs="Arial"/>
          <w:szCs w:val="24"/>
        </w:rPr>
        <w:t>The physician is notified of the transfer.</w:t>
      </w:r>
    </w:p>
    <w:p w:rsidR="006D1D01" w:rsidRDefault="000B34CB" w:rsidP="00C16C0E">
      <w:pPr>
        <w:numPr>
          <w:ilvl w:val="1"/>
          <w:numId w:val="21"/>
        </w:numPr>
        <w:rPr>
          <w:rFonts w:ascii="Arial" w:hAnsi="Arial" w:cs="Arial"/>
          <w:szCs w:val="24"/>
        </w:rPr>
      </w:pPr>
      <w:r w:rsidRPr="004313E2">
        <w:rPr>
          <w:rFonts w:ascii="Arial" w:hAnsi="Arial" w:cs="Arial"/>
          <w:szCs w:val="24"/>
        </w:rPr>
        <w:t>The receiving organization is contacted to determine the reason for transfer</w:t>
      </w:r>
      <w:r>
        <w:rPr>
          <w:rFonts w:ascii="Arial" w:hAnsi="Arial" w:cs="Arial"/>
          <w:szCs w:val="24"/>
        </w:rPr>
        <w:t xml:space="preserve"> if necessary</w:t>
      </w:r>
      <w:r w:rsidRPr="004313E2">
        <w:rPr>
          <w:rFonts w:ascii="Arial" w:hAnsi="Arial" w:cs="Arial"/>
          <w:szCs w:val="24"/>
        </w:rPr>
        <w:t>.</w:t>
      </w:r>
    </w:p>
    <w:p w:rsidR="006D1D01" w:rsidRDefault="000B34CB" w:rsidP="00C16C0E">
      <w:pPr>
        <w:numPr>
          <w:ilvl w:val="1"/>
          <w:numId w:val="21"/>
        </w:numPr>
        <w:rPr>
          <w:rFonts w:ascii="Arial" w:hAnsi="Arial" w:cs="Arial"/>
          <w:szCs w:val="24"/>
        </w:rPr>
      </w:pPr>
      <w:r w:rsidRPr="004313E2">
        <w:rPr>
          <w:rFonts w:ascii="Arial" w:hAnsi="Arial" w:cs="Arial"/>
          <w:szCs w:val="24"/>
        </w:rPr>
        <w:t>All disciplines involved in the patient’s care are notified of the transfer.</w:t>
      </w:r>
    </w:p>
    <w:p w:rsidR="006D1D01" w:rsidRDefault="000B34CB" w:rsidP="00C16C0E">
      <w:pPr>
        <w:numPr>
          <w:ilvl w:val="1"/>
          <w:numId w:val="21"/>
        </w:numPr>
        <w:rPr>
          <w:rFonts w:ascii="Arial" w:hAnsi="Arial" w:cs="Arial"/>
          <w:szCs w:val="24"/>
        </w:rPr>
      </w:pPr>
      <w:r w:rsidRPr="004313E2">
        <w:rPr>
          <w:rFonts w:ascii="Arial" w:hAnsi="Arial" w:cs="Arial"/>
          <w:szCs w:val="24"/>
        </w:rPr>
        <w:t xml:space="preserve">All communication with the receiving provider, physician, and patient is documented in the patient’s clinical record. </w:t>
      </w:r>
    </w:p>
    <w:p w:rsidR="006D1D01" w:rsidRDefault="006D1D01" w:rsidP="00F543C1">
      <w:pPr>
        <w:ind w:left="720"/>
        <w:rPr>
          <w:rFonts w:ascii="Arial" w:hAnsi="Arial" w:cs="Arial"/>
          <w:szCs w:val="24"/>
        </w:rPr>
      </w:pPr>
    </w:p>
    <w:p w:rsidR="005A622A" w:rsidRDefault="005A622A" w:rsidP="005A622A">
      <w:pPr>
        <w:rPr>
          <w:rFonts w:ascii="Arial" w:hAnsi="Arial" w:cs="Arial"/>
          <w:szCs w:val="24"/>
        </w:rPr>
      </w:pPr>
    </w:p>
    <w:p w:rsidR="00D27E3B" w:rsidRPr="004313E2" w:rsidRDefault="00D27E3B" w:rsidP="004313E2">
      <w:pPr>
        <w:pStyle w:val="Heading1"/>
        <w:ind w:right="0"/>
        <w:rPr>
          <w:rFonts w:ascii="Arial" w:hAnsi="Arial" w:cs="Arial"/>
          <w:szCs w:val="24"/>
        </w:rPr>
      </w:pPr>
      <w:r w:rsidRPr="004313E2">
        <w:rPr>
          <w:rFonts w:ascii="Arial" w:hAnsi="Arial" w:cs="Arial"/>
          <w:szCs w:val="24"/>
        </w:rPr>
        <w:t xml:space="preserve">PROCEDURE </w:t>
      </w:r>
      <w:r w:rsidR="004313E2">
        <w:rPr>
          <w:rFonts w:ascii="Arial" w:hAnsi="Arial" w:cs="Arial"/>
          <w:szCs w:val="24"/>
        </w:rPr>
        <w:t>– ISLAND HOSPICE</w:t>
      </w:r>
    </w:p>
    <w:p w:rsidR="004F0F38" w:rsidRPr="004313E2" w:rsidRDefault="004F0F38" w:rsidP="004313E2">
      <w:pPr>
        <w:rPr>
          <w:rFonts w:ascii="Arial" w:hAnsi="Arial" w:cs="Arial"/>
          <w:szCs w:val="24"/>
        </w:rPr>
      </w:pPr>
    </w:p>
    <w:p w:rsidR="004F0F38" w:rsidRPr="004313E2" w:rsidRDefault="00D27E3B" w:rsidP="004313E2">
      <w:pPr>
        <w:pStyle w:val="ListParagraph"/>
        <w:numPr>
          <w:ilvl w:val="0"/>
          <w:numId w:val="19"/>
        </w:numPr>
        <w:rPr>
          <w:rFonts w:ascii="Arial" w:hAnsi="Arial" w:cs="Arial"/>
          <w:szCs w:val="24"/>
        </w:rPr>
      </w:pPr>
      <w:r w:rsidRPr="004313E2">
        <w:rPr>
          <w:rFonts w:ascii="Arial" w:hAnsi="Arial" w:cs="Arial"/>
          <w:szCs w:val="24"/>
        </w:rPr>
        <w:t>The RN Care Manager confirms that all members of IDT are aware of the transfer plan</w:t>
      </w:r>
      <w:r w:rsidR="004313E2">
        <w:rPr>
          <w:rFonts w:ascii="Arial" w:hAnsi="Arial" w:cs="Arial"/>
          <w:szCs w:val="24"/>
        </w:rPr>
        <w:t>.</w:t>
      </w:r>
    </w:p>
    <w:p w:rsidR="004F0F38" w:rsidRPr="004313E2" w:rsidRDefault="00D27E3B" w:rsidP="004313E2">
      <w:pPr>
        <w:pStyle w:val="ListParagraph"/>
        <w:numPr>
          <w:ilvl w:val="0"/>
          <w:numId w:val="19"/>
        </w:numPr>
        <w:rPr>
          <w:rFonts w:ascii="Arial" w:hAnsi="Arial" w:cs="Arial"/>
          <w:szCs w:val="24"/>
        </w:rPr>
      </w:pPr>
      <w:r w:rsidRPr="004313E2">
        <w:rPr>
          <w:rFonts w:ascii="Arial" w:hAnsi="Arial" w:cs="Arial"/>
          <w:szCs w:val="24"/>
        </w:rPr>
        <w:t>The RN Care Manager completes and sends the Island Hospice Transfer Form to the receiving agency with a face sheet and hospice discharge summary.</w:t>
      </w:r>
    </w:p>
    <w:p w:rsidR="004F0F38" w:rsidRPr="004313E2" w:rsidRDefault="00E16290" w:rsidP="004313E2">
      <w:pPr>
        <w:pStyle w:val="ListParagraph"/>
        <w:numPr>
          <w:ilvl w:val="0"/>
          <w:numId w:val="19"/>
        </w:numPr>
        <w:rPr>
          <w:rFonts w:ascii="Arial" w:hAnsi="Arial" w:cs="Arial"/>
          <w:szCs w:val="24"/>
        </w:rPr>
      </w:pPr>
      <w:r w:rsidRPr="004313E2">
        <w:rPr>
          <w:rFonts w:ascii="Arial" w:hAnsi="Arial" w:cs="Arial"/>
          <w:szCs w:val="24"/>
        </w:rPr>
        <w:t>The discharge summary includes, but is not limited to,</w:t>
      </w:r>
      <w:r w:rsidR="004313E2">
        <w:rPr>
          <w:rFonts w:ascii="Arial" w:hAnsi="Arial" w:cs="Arial"/>
          <w:szCs w:val="24"/>
        </w:rPr>
        <w:t xml:space="preserve"> treatments, symptom and</w:t>
      </w:r>
      <w:r w:rsidRPr="004313E2">
        <w:rPr>
          <w:rFonts w:ascii="Arial" w:hAnsi="Arial" w:cs="Arial"/>
          <w:szCs w:val="24"/>
        </w:rPr>
        <w:t xml:space="preserve"> pain management</w:t>
      </w:r>
      <w:r w:rsidR="00DB143D" w:rsidRPr="004313E2">
        <w:rPr>
          <w:rFonts w:ascii="Arial" w:hAnsi="Arial" w:cs="Arial"/>
          <w:szCs w:val="24"/>
        </w:rPr>
        <w:t xml:space="preserve">, current plan of care, most recent physician orders and, if </w:t>
      </w:r>
      <w:r w:rsidR="004313E2">
        <w:rPr>
          <w:rFonts w:ascii="Arial" w:hAnsi="Arial" w:cs="Arial"/>
          <w:szCs w:val="24"/>
        </w:rPr>
        <w:t>patient</w:t>
      </w:r>
      <w:r w:rsidR="00DB143D" w:rsidRPr="004313E2">
        <w:rPr>
          <w:rFonts w:ascii="Arial" w:hAnsi="Arial" w:cs="Arial"/>
          <w:szCs w:val="24"/>
        </w:rPr>
        <w:t xml:space="preserve"> is in 3</w:t>
      </w:r>
      <w:r w:rsidR="004F0F38" w:rsidRPr="004313E2">
        <w:rPr>
          <w:rFonts w:ascii="Arial" w:hAnsi="Arial" w:cs="Arial"/>
          <w:szCs w:val="24"/>
          <w:vertAlign w:val="superscript"/>
        </w:rPr>
        <w:t>rd</w:t>
      </w:r>
      <w:r w:rsidR="00DB143D" w:rsidRPr="004313E2">
        <w:rPr>
          <w:rFonts w:ascii="Arial" w:hAnsi="Arial" w:cs="Arial"/>
          <w:szCs w:val="24"/>
        </w:rPr>
        <w:t xml:space="preserve"> election period or later, </w:t>
      </w:r>
      <w:proofErr w:type="spellStart"/>
      <w:r w:rsidR="00DB143D" w:rsidRPr="004313E2">
        <w:rPr>
          <w:rFonts w:ascii="Arial" w:hAnsi="Arial" w:cs="Arial"/>
          <w:szCs w:val="24"/>
        </w:rPr>
        <w:t>F2F</w:t>
      </w:r>
      <w:proofErr w:type="spellEnd"/>
      <w:r w:rsidR="00DB143D" w:rsidRPr="004313E2">
        <w:rPr>
          <w:rFonts w:ascii="Arial" w:hAnsi="Arial" w:cs="Arial"/>
          <w:szCs w:val="24"/>
        </w:rPr>
        <w:t xml:space="preserve"> documentation</w:t>
      </w:r>
    </w:p>
    <w:p w:rsidR="004F0F38" w:rsidRPr="004313E2" w:rsidRDefault="00DB143D" w:rsidP="004313E2">
      <w:pPr>
        <w:pStyle w:val="ListParagraph"/>
        <w:numPr>
          <w:ilvl w:val="0"/>
          <w:numId w:val="19"/>
        </w:numPr>
        <w:rPr>
          <w:rFonts w:ascii="Arial" w:hAnsi="Arial" w:cs="Arial"/>
          <w:szCs w:val="24"/>
        </w:rPr>
      </w:pPr>
      <w:r w:rsidRPr="004313E2">
        <w:rPr>
          <w:rFonts w:ascii="Arial" w:hAnsi="Arial" w:cs="Arial"/>
          <w:szCs w:val="24"/>
        </w:rPr>
        <w:t>The RN Care Manager provides verbal report to the receiving facility.</w:t>
      </w:r>
    </w:p>
    <w:p w:rsidR="004F0F38" w:rsidRPr="004313E2" w:rsidRDefault="00DB143D" w:rsidP="004313E2">
      <w:pPr>
        <w:pStyle w:val="ListParagraph"/>
        <w:numPr>
          <w:ilvl w:val="0"/>
          <w:numId w:val="19"/>
        </w:numPr>
        <w:rPr>
          <w:rFonts w:ascii="Arial" w:hAnsi="Arial" w:cs="Arial"/>
          <w:szCs w:val="24"/>
        </w:rPr>
      </w:pPr>
      <w:r w:rsidRPr="004313E2">
        <w:rPr>
          <w:rFonts w:ascii="Arial" w:hAnsi="Arial" w:cs="Arial"/>
          <w:szCs w:val="24"/>
        </w:rPr>
        <w:t>With transfer to another hospice, the patient is discharged from Island</w:t>
      </w:r>
      <w:r w:rsidR="00FA6814" w:rsidRPr="004313E2">
        <w:rPr>
          <w:rFonts w:ascii="Arial" w:hAnsi="Arial" w:cs="Arial"/>
          <w:szCs w:val="24"/>
        </w:rPr>
        <w:t xml:space="preserve"> </w:t>
      </w:r>
      <w:r w:rsidRPr="004313E2">
        <w:rPr>
          <w:rFonts w:ascii="Arial" w:hAnsi="Arial" w:cs="Arial"/>
          <w:szCs w:val="24"/>
        </w:rPr>
        <w:t>Hospice</w:t>
      </w:r>
      <w:r w:rsidR="00D27E3B" w:rsidRPr="004313E2">
        <w:rPr>
          <w:rFonts w:ascii="Arial" w:hAnsi="Arial" w:cs="Arial"/>
          <w:szCs w:val="24"/>
        </w:rPr>
        <w:t xml:space="preserve">. </w:t>
      </w:r>
    </w:p>
    <w:p w:rsidR="00D27E3B" w:rsidRDefault="00D27E3B" w:rsidP="004313E2">
      <w:pPr>
        <w:ind w:left="360"/>
        <w:rPr>
          <w:rFonts w:ascii="Arial" w:hAnsi="Arial" w:cs="Arial"/>
          <w:szCs w:val="24"/>
        </w:rPr>
      </w:pPr>
    </w:p>
    <w:p w:rsidR="004313E2" w:rsidRDefault="004313E2" w:rsidP="004313E2">
      <w:pPr>
        <w:rPr>
          <w:rFonts w:ascii="Arial" w:hAnsi="Arial" w:cs="Arial"/>
          <w:szCs w:val="24"/>
        </w:rPr>
      </w:pPr>
    </w:p>
    <w:p w:rsidR="004313E2" w:rsidRPr="004313E2" w:rsidRDefault="004313E2" w:rsidP="004313E2">
      <w:pPr>
        <w:rPr>
          <w:rFonts w:ascii="Arial" w:hAnsi="Arial" w:cs="Arial"/>
          <w:szCs w:val="24"/>
        </w:rPr>
      </w:pPr>
      <w:r>
        <w:rPr>
          <w:rFonts w:ascii="Arial" w:hAnsi="Arial" w:cs="Arial"/>
          <w:szCs w:val="24"/>
        </w:rPr>
        <w:t xml:space="preserve">Transfer Fax Cover Sheets can be found at </w:t>
      </w:r>
      <w:hyperlink r:id="rId7" w:history="1">
        <w:proofErr w:type="spellStart"/>
        <w:r w:rsidRPr="004313E2">
          <w:rPr>
            <w:rStyle w:val="Hyperlink"/>
            <w:rFonts w:ascii="Arial" w:hAnsi="Arial" w:cs="Arial"/>
            <w:szCs w:val="24"/>
          </w:rPr>
          <w:t>G:\Approved</w:t>
        </w:r>
        <w:proofErr w:type="spellEnd"/>
        <w:r w:rsidRPr="004313E2">
          <w:rPr>
            <w:rStyle w:val="Hyperlink"/>
            <w:rFonts w:ascii="Arial" w:hAnsi="Arial" w:cs="Arial"/>
            <w:szCs w:val="24"/>
          </w:rPr>
          <w:t xml:space="preserve"> Forms 2015\Fax Cover Sheets</w:t>
        </w:r>
      </w:hyperlink>
      <w:r>
        <w:rPr>
          <w:rFonts w:ascii="Arial" w:hAnsi="Arial" w:cs="Arial"/>
          <w:szCs w:val="24"/>
        </w:rPr>
        <w:t>.</w:t>
      </w:r>
    </w:p>
    <w:sectPr w:rsidR="004313E2" w:rsidRPr="004313E2" w:rsidSect="004313E2">
      <w:footerReference w:type="even" r:id="rId8"/>
      <w:footerReference w:type="default" r:id="rId9"/>
      <w:endnotePr>
        <w:numFmt w:val="decimal"/>
      </w:endnotePr>
      <w:pgSz w:w="12240" w:h="15840" w:code="1"/>
      <w:pgMar w:top="720" w:right="720" w:bottom="720" w:left="720" w:header="432" w:footer="43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3C1" w:rsidRDefault="00F543C1">
      <w:r>
        <w:separator/>
      </w:r>
    </w:p>
  </w:endnote>
  <w:endnote w:type="continuationSeparator" w:id="0">
    <w:p w:rsidR="00F543C1" w:rsidRDefault="00F543C1">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Std Book">
    <w:altName w:val="Vrinda"/>
    <w:charset w:val="00"/>
    <w:family w:val="auto"/>
    <w:pitch w:val="variable"/>
    <w:sig w:usb0="00000003"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3C1" w:rsidRDefault="00F543C1" w:rsidP="00CF0C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543C1" w:rsidRDefault="00F543C1" w:rsidP="002319C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3C1" w:rsidRPr="00C53C4E" w:rsidRDefault="00F543C1" w:rsidP="004313E2">
    <w:pPr>
      <w:pStyle w:val="Footer"/>
      <w:tabs>
        <w:tab w:val="clear" w:pos="4320"/>
        <w:tab w:val="clear" w:pos="8640"/>
        <w:tab w:val="right" w:pos="10800"/>
      </w:tabs>
      <w:rPr>
        <w:rFonts w:ascii="Arial" w:hAnsi="Arial" w:cs="Arial"/>
        <w:sz w:val="16"/>
        <w:szCs w:val="16"/>
      </w:rPr>
    </w:pPr>
    <w:r>
      <w:rPr>
        <w:sz w:val="16"/>
        <w:szCs w:val="16"/>
      </w:rPr>
      <w:t>G:\Policies and Procedures 2018\Administrative Policy and Procedure Manual\Provision of Care, Treatment, &amp; Service\</w:t>
    </w:r>
    <w:proofErr w:type="spellStart"/>
    <w:r>
      <w:rPr>
        <w:sz w:val="16"/>
        <w:szCs w:val="16"/>
      </w:rPr>
      <w:t>Transfers.doc</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3C1" w:rsidRDefault="00F543C1">
      <w:r>
        <w:separator/>
      </w:r>
    </w:p>
  </w:footnote>
  <w:footnote w:type="continuationSeparator" w:id="0">
    <w:p w:rsidR="00F543C1" w:rsidRDefault="00F543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upperLetter"/>
      <w:pStyle w:val="Level1"/>
      <w:lvlText w:val="%1."/>
      <w:lvlJc w:val="left"/>
      <w:pPr>
        <w:tabs>
          <w:tab w:val="num" w:pos="720"/>
        </w:tabs>
        <w:ind w:left="720" w:hanging="720"/>
      </w:pPr>
      <w:rPr>
        <w:rFonts w:ascii="Book Antiqua" w:hAnsi="Book Antiqua"/>
        <w:sz w:val="24"/>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2"/>
    <w:multiLevelType w:val="multilevel"/>
    <w:tmpl w:val="00000000"/>
    <w:lvl w:ilvl="0">
      <w:start w:val="1"/>
      <w:numFmt w:val="upp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ADC495B"/>
    <w:multiLevelType w:val="hybridMultilevel"/>
    <w:tmpl w:val="D4D804E4"/>
    <w:lvl w:ilvl="0" w:tplc="21BA2C62">
      <w:start w:val="1"/>
      <w:numFmt w:val="decimal"/>
      <w:lvlText w:val="%1."/>
      <w:lvlJc w:val="left"/>
      <w:pPr>
        <w:tabs>
          <w:tab w:val="num" w:pos="720"/>
        </w:tabs>
        <w:ind w:left="720" w:hanging="360"/>
      </w:pPr>
      <w:rPr>
        <w:rFonts w:hint="default"/>
        <w:b w:val="0"/>
      </w:rPr>
    </w:lvl>
    <w:lvl w:ilvl="1" w:tplc="4B32261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6A697A"/>
    <w:multiLevelType w:val="hybridMultilevel"/>
    <w:tmpl w:val="E3AAAFA4"/>
    <w:lvl w:ilvl="0" w:tplc="0409000F">
      <w:start w:val="1"/>
      <w:numFmt w:val="decimal"/>
      <w:lvlText w:val="%1."/>
      <w:lvlJc w:val="left"/>
      <w:pPr>
        <w:tabs>
          <w:tab w:val="num" w:pos="720"/>
        </w:tabs>
        <w:ind w:left="720" w:hanging="360"/>
      </w:pPr>
    </w:lvl>
    <w:lvl w:ilvl="1" w:tplc="156E7AB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CA2CD2"/>
    <w:multiLevelType w:val="hybridMultilevel"/>
    <w:tmpl w:val="D4D804E4"/>
    <w:lvl w:ilvl="0" w:tplc="21BA2C62">
      <w:start w:val="1"/>
      <w:numFmt w:val="decimal"/>
      <w:lvlText w:val="%1."/>
      <w:lvlJc w:val="left"/>
      <w:pPr>
        <w:tabs>
          <w:tab w:val="num" w:pos="720"/>
        </w:tabs>
        <w:ind w:left="720" w:hanging="360"/>
      </w:pPr>
      <w:rPr>
        <w:rFonts w:hint="default"/>
        <w:b w:val="0"/>
      </w:rPr>
    </w:lvl>
    <w:lvl w:ilvl="1" w:tplc="4B32261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5C0801"/>
    <w:multiLevelType w:val="singleLevel"/>
    <w:tmpl w:val="0409000F"/>
    <w:lvl w:ilvl="0">
      <w:start w:val="1"/>
      <w:numFmt w:val="decimal"/>
      <w:lvlText w:val="%1."/>
      <w:lvlJc w:val="left"/>
      <w:pPr>
        <w:tabs>
          <w:tab w:val="num" w:pos="360"/>
        </w:tabs>
        <w:ind w:left="360" w:hanging="360"/>
      </w:pPr>
    </w:lvl>
  </w:abstractNum>
  <w:abstractNum w:abstractNumId="7">
    <w:nsid w:val="1DBA11BC"/>
    <w:multiLevelType w:val="hybridMultilevel"/>
    <w:tmpl w:val="FE4C77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F441FB5"/>
    <w:multiLevelType w:val="hybridMultilevel"/>
    <w:tmpl w:val="F6A23D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C56E87"/>
    <w:multiLevelType w:val="hybridMultilevel"/>
    <w:tmpl w:val="3B2ECC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C85474"/>
    <w:multiLevelType w:val="hybridMultilevel"/>
    <w:tmpl w:val="EC7E59B8"/>
    <w:lvl w:ilvl="0" w:tplc="F62693F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1EE1B1B"/>
    <w:multiLevelType w:val="hybridMultilevel"/>
    <w:tmpl w:val="45E6E42A"/>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2C246C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484B28AB"/>
    <w:multiLevelType w:val="hybridMultilevel"/>
    <w:tmpl w:val="059C9F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A11420C"/>
    <w:multiLevelType w:val="singleLevel"/>
    <w:tmpl w:val="0409000F"/>
    <w:lvl w:ilvl="0">
      <w:start w:val="1"/>
      <w:numFmt w:val="decimal"/>
      <w:lvlText w:val="%1."/>
      <w:lvlJc w:val="left"/>
      <w:pPr>
        <w:tabs>
          <w:tab w:val="num" w:pos="360"/>
        </w:tabs>
        <w:ind w:left="360" w:hanging="360"/>
      </w:pPr>
    </w:lvl>
  </w:abstractNum>
  <w:abstractNum w:abstractNumId="16">
    <w:nsid w:val="5C0335AA"/>
    <w:multiLevelType w:val="hybridMultilevel"/>
    <w:tmpl w:val="AF32867C"/>
    <w:lvl w:ilvl="0" w:tplc="5EDA30CE">
      <w:start w:val="4"/>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EC75474"/>
    <w:multiLevelType w:val="hybridMultilevel"/>
    <w:tmpl w:val="4C3285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8DD2195"/>
    <w:multiLevelType w:val="hybridMultilevel"/>
    <w:tmpl w:val="219A93AC"/>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14023A"/>
    <w:multiLevelType w:val="hybridMultilevel"/>
    <w:tmpl w:val="4A728E8A"/>
    <w:lvl w:ilvl="0" w:tplc="04090015">
      <w:start w:val="1"/>
      <w:numFmt w:val="upp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6CA42C08"/>
    <w:multiLevelType w:val="hybridMultilevel"/>
    <w:tmpl w:val="EC46D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1366EF"/>
    <w:multiLevelType w:val="hybridMultilevel"/>
    <w:tmpl w:val="49BC1C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6"/>
  </w:num>
  <w:num w:numId="3">
    <w:abstractNumId w:val="13"/>
  </w:num>
  <w:num w:numId="4">
    <w:abstractNumId w:val="15"/>
  </w:num>
  <w:num w:numId="5">
    <w:abstractNumId w:val="0"/>
    <w:lvlOverride w:ilvl="0">
      <w:lvl w:ilvl="0">
        <w:numFmt w:val="bullet"/>
        <w:lvlText w:val="•"/>
        <w:legacy w:legacy="1" w:legacySpace="0" w:legacyIndent="720"/>
        <w:lvlJc w:val="left"/>
        <w:pPr>
          <w:ind w:left="720" w:hanging="720"/>
        </w:pPr>
        <w:rPr>
          <w:rFonts w:ascii="Book Antiqua" w:hAnsi="Book Antiqua" w:hint="default"/>
        </w:rPr>
      </w:lvl>
    </w:lvlOverride>
  </w:num>
  <w:num w:numId="6">
    <w:abstractNumId w:val="4"/>
  </w:num>
  <w:num w:numId="7">
    <w:abstractNumId w:val="17"/>
  </w:num>
  <w:num w:numId="8">
    <w:abstractNumId w:val="18"/>
  </w:num>
  <w:num w:numId="9">
    <w:abstractNumId w:val="12"/>
  </w:num>
  <w:num w:numId="10">
    <w:abstractNumId w:val="19"/>
  </w:num>
  <w:num w:numId="11">
    <w:abstractNumId w:val="16"/>
  </w:num>
  <w:num w:numId="12">
    <w:abstractNumId w:val="11"/>
  </w:num>
  <w:num w:numId="13">
    <w:abstractNumId w:val="8"/>
  </w:num>
  <w:num w:numId="14">
    <w:abstractNumId w:val="14"/>
  </w:num>
  <w:num w:numId="15">
    <w:abstractNumId w:val="9"/>
  </w:num>
  <w:num w:numId="16">
    <w:abstractNumId w:val="21"/>
  </w:num>
  <w:num w:numId="17">
    <w:abstractNumId w:val="7"/>
  </w:num>
  <w:num w:numId="18">
    <w:abstractNumId w:val="5"/>
  </w:num>
  <w:num w:numId="19">
    <w:abstractNumId w:val="20"/>
  </w:num>
  <w:num w:numId="20">
    <w:abstractNumId w:val="10"/>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2225"/>
  </w:hdrShapeDefaults>
  <w:footnotePr>
    <w:footnote w:id="-1"/>
    <w:footnote w:id="0"/>
  </w:footnotePr>
  <w:endnotePr>
    <w:numFmt w:val="decimal"/>
    <w:endnote w:id="-1"/>
    <w:endnote w:id="0"/>
  </w:endnotePr>
  <w:compat/>
  <w:rsids>
    <w:rsidRoot w:val="00530EFE"/>
    <w:rsid w:val="00013A21"/>
    <w:rsid w:val="0005304D"/>
    <w:rsid w:val="000567EF"/>
    <w:rsid w:val="00076304"/>
    <w:rsid w:val="000B34CB"/>
    <w:rsid w:val="000B53A8"/>
    <w:rsid w:val="000D7183"/>
    <w:rsid w:val="000F7C45"/>
    <w:rsid w:val="0010114A"/>
    <w:rsid w:val="00114E7D"/>
    <w:rsid w:val="00121BED"/>
    <w:rsid w:val="00130DA4"/>
    <w:rsid w:val="00132151"/>
    <w:rsid w:val="00147486"/>
    <w:rsid w:val="00150107"/>
    <w:rsid w:val="00155CE8"/>
    <w:rsid w:val="00170539"/>
    <w:rsid w:val="00172918"/>
    <w:rsid w:val="001B3742"/>
    <w:rsid w:val="001B712E"/>
    <w:rsid w:val="001B74FD"/>
    <w:rsid w:val="001D6001"/>
    <w:rsid w:val="0020522A"/>
    <w:rsid w:val="002319C2"/>
    <w:rsid w:val="00303C90"/>
    <w:rsid w:val="003856CA"/>
    <w:rsid w:val="00386BCD"/>
    <w:rsid w:val="003A47BF"/>
    <w:rsid w:val="003B6B2A"/>
    <w:rsid w:val="003C2D85"/>
    <w:rsid w:val="003F47EA"/>
    <w:rsid w:val="00403BF0"/>
    <w:rsid w:val="004165E3"/>
    <w:rsid w:val="004313E2"/>
    <w:rsid w:val="004463A6"/>
    <w:rsid w:val="004567F5"/>
    <w:rsid w:val="00462E24"/>
    <w:rsid w:val="00485072"/>
    <w:rsid w:val="004C5800"/>
    <w:rsid w:val="004F0F38"/>
    <w:rsid w:val="004F74FF"/>
    <w:rsid w:val="005118B2"/>
    <w:rsid w:val="0051476B"/>
    <w:rsid w:val="005243DE"/>
    <w:rsid w:val="00530EFE"/>
    <w:rsid w:val="005615E3"/>
    <w:rsid w:val="0057543F"/>
    <w:rsid w:val="00594926"/>
    <w:rsid w:val="005A6132"/>
    <w:rsid w:val="005A622A"/>
    <w:rsid w:val="005E20AE"/>
    <w:rsid w:val="0060223F"/>
    <w:rsid w:val="0060276D"/>
    <w:rsid w:val="00634CDD"/>
    <w:rsid w:val="00646F9B"/>
    <w:rsid w:val="006D1D01"/>
    <w:rsid w:val="006F2727"/>
    <w:rsid w:val="006F462E"/>
    <w:rsid w:val="00764D7F"/>
    <w:rsid w:val="00787DEB"/>
    <w:rsid w:val="0079578B"/>
    <w:rsid w:val="007A7AF5"/>
    <w:rsid w:val="007B65AC"/>
    <w:rsid w:val="007D3FED"/>
    <w:rsid w:val="007D616F"/>
    <w:rsid w:val="007E7CA5"/>
    <w:rsid w:val="007F09E1"/>
    <w:rsid w:val="007F7F01"/>
    <w:rsid w:val="0080163E"/>
    <w:rsid w:val="0081367C"/>
    <w:rsid w:val="008726F1"/>
    <w:rsid w:val="008905A5"/>
    <w:rsid w:val="008C2573"/>
    <w:rsid w:val="008E1102"/>
    <w:rsid w:val="008E707A"/>
    <w:rsid w:val="008E75EE"/>
    <w:rsid w:val="008F20A8"/>
    <w:rsid w:val="0092749B"/>
    <w:rsid w:val="009677F2"/>
    <w:rsid w:val="00974264"/>
    <w:rsid w:val="00995BF1"/>
    <w:rsid w:val="00995D2B"/>
    <w:rsid w:val="009966CA"/>
    <w:rsid w:val="009C5FA6"/>
    <w:rsid w:val="009E7C32"/>
    <w:rsid w:val="00A04DBD"/>
    <w:rsid w:val="00A22337"/>
    <w:rsid w:val="00A4313B"/>
    <w:rsid w:val="00A64885"/>
    <w:rsid w:val="00AA161B"/>
    <w:rsid w:val="00AA2BBA"/>
    <w:rsid w:val="00AA7880"/>
    <w:rsid w:val="00AB6FA2"/>
    <w:rsid w:val="00AB7C8A"/>
    <w:rsid w:val="00AE4ABB"/>
    <w:rsid w:val="00AF24D5"/>
    <w:rsid w:val="00B12F89"/>
    <w:rsid w:val="00B74D97"/>
    <w:rsid w:val="00B84F82"/>
    <w:rsid w:val="00BB02A4"/>
    <w:rsid w:val="00BB758E"/>
    <w:rsid w:val="00BC5128"/>
    <w:rsid w:val="00BC62BA"/>
    <w:rsid w:val="00BE0C06"/>
    <w:rsid w:val="00BE3F1B"/>
    <w:rsid w:val="00BF22D0"/>
    <w:rsid w:val="00BF36DF"/>
    <w:rsid w:val="00BF63D2"/>
    <w:rsid w:val="00C13273"/>
    <w:rsid w:val="00C16C0E"/>
    <w:rsid w:val="00C2549C"/>
    <w:rsid w:val="00C53C4E"/>
    <w:rsid w:val="00C546CD"/>
    <w:rsid w:val="00C632AB"/>
    <w:rsid w:val="00C93E7F"/>
    <w:rsid w:val="00CE4252"/>
    <w:rsid w:val="00CF0CE9"/>
    <w:rsid w:val="00D111C5"/>
    <w:rsid w:val="00D15F27"/>
    <w:rsid w:val="00D16FFF"/>
    <w:rsid w:val="00D27E3B"/>
    <w:rsid w:val="00D370A9"/>
    <w:rsid w:val="00D40191"/>
    <w:rsid w:val="00D44AB5"/>
    <w:rsid w:val="00D76CE2"/>
    <w:rsid w:val="00D8620B"/>
    <w:rsid w:val="00DB143D"/>
    <w:rsid w:val="00DB23C6"/>
    <w:rsid w:val="00DE6B96"/>
    <w:rsid w:val="00E123BB"/>
    <w:rsid w:val="00E16290"/>
    <w:rsid w:val="00E70786"/>
    <w:rsid w:val="00E8762C"/>
    <w:rsid w:val="00EB119D"/>
    <w:rsid w:val="00ED6787"/>
    <w:rsid w:val="00EE6912"/>
    <w:rsid w:val="00EF2A2D"/>
    <w:rsid w:val="00F12393"/>
    <w:rsid w:val="00F12A3D"/>
    <w:rsid w:val="00F35D45"/>
    <w:rsid w:val="00F50F11"/>
    <w:rsid w:val="00F543C1"/>
    <w:rsid w:val="00F82E44"/>
    <w:rsid w:val="00FA6814"/>
    <w:rsid w:val="00FA7C4A"/>
    <w:rsid w:val="00FB46E1"/>
    <w:rsid w:val="00FF22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2918"/>
    <w:pPr>
      <w:widowControl w:val="0"/>
    </w:pPr>
    <w:rPr>
      <w:snapToGrid w:val="0"/>
      <w:sz w:val="24"/>
    </w:rPr>
  </w:style>
  <w:style w:type="paragraph" w:styleId="Heading1">
    <w:name w:val="heading 1"/>
    <w:basedOn w:val="Normal"/>
    <w:next w:val="Normal"/>
    <w:qFormat/>
    <w:rsid w:val="00172918"/>
    <w:pPr>
      <w:keepNext/>
      <w:ind w:right="-720"/>
      <w:outlineLvl w:val="0"/>
    </w:pPr>
    <w:rPr>
      <w:rFonts w:ascii="Book Antiqua" w:hAnsi="Book Antiqua"/>
      <w:b/>
      <w:u w:val="single"/>
    </w:rPr>
  </w:style>
  <w:style w:type="paragraph" w:styleId="Heading2">
    <w:name w:val="heading 2"/>
    <w:basedOn w:val="Normal"/>
    <w:next w:val="Normal"/>
    <w:qFormat/>
    <w:rsid w:val="00172918"/>
    <w:pPr>
      <w:keepNext/>
      <w:tabs>
        <w:tab w:val="center" w:pos="1950"/>
      </w:tabs>
      <w:outlineLvl w:val="1"/>
    </w:pPr>
    <w:rPr>
      <w:b/>
    </w:rPr>
  </w:style>
  <w:style w:type="paragraph" w:styleId="Heading3">
    <w:name w:val="heading 3"/>
    <w:basedOn w:val="Normal"/>
    <w:next w:val="Normal"/>
    <w:qFormat/>
    <w:rsid w:val="00172918"/>
    <w:pPr>
      <w:keepNext/>
      <w:widowControl/>
      <w:spacing w:before="120" w:after="120"/>
      <w:outlineLvl w:val="2"/>
    </w:pPr>
    <w:rPr>
      <w:rFonts w:ascii="Arial" w:hAnsi="Arial" w:cs="Arial"/>
      <w:b/>
      <w:bCs/>
      <w:noProof/>
      <w:snapToGrid/>
      <w:spacing w:val="-1"/>
      <w:sz w:val="32"/>
      <w:szCs w:val="23"/>
    </w:rPr>
  </w:style>
  <w:style w:type="paragraph" w:styleId="Heading4">
    <w:name w:val="heading 4"/>
    <w:basedOn w:val="Normal"/>
    <w:next w:val="Normal"/>
    <w:qFormat/>
    <w:rsid w:val="00172918"/>
    <w:pPr>
      <w:keepNext/>
      <w:ind w:right="-720"/>
      <w:outlineLvl w:val="3"/>
    </w:pPr>
    <w:rPr>
      <w:rFonts w:ascii="Verdana" w:hAnsi="Verdana"/>
      <w:b/>
      <w:sz w:val="22"/>
      <w:u w:val="single"/>
    </w:rPr>
  </w:style>
  <w:style w:type="paragraph" w:styleId="Heading5">
    <w:name w:val="heading 5"/>
    <w:basedOn w:val="Normal"/>
    <w:next w:val="Normal"/>
    <w:qFormat/>
    <w:rsid w:val="00172918"/>
    <w:pPr>
      <w:keepNext/>
      <w:tabs>
        <w:tab w:val="left" w:pos="2880"/>
      </w:tabs>
      <w:spacing w:line="360" w:lineRule="auto"/>
      <w:outlineLvl w:val="4"/>
    </w:pPr>
    <w:rPr>
      <w:rFonts w:ascii="Verdana" w:hAnsi="Verdana"/>
      <w:b/>
      <w:sz w:val="22"/>
    </w:rPr>
  </w:style>
  <w:style w:type="paragraph" w:styleId="Heading6">
    <w:name w:val="heading 6"/>
    <w:basedOn w:val="Normal"/>
    <w:next w:val="Normal"/>
    <w:qFormat/>
    <w:rsid w:val="00172918"/>
    <w:pPr>
      <w:keepNext/>
      <w:ind w:right="14"/>
      <w:jc w:val="both"/>
      <w:outlineLvl w:val="5"/>
    </w:pPr>
    <w:rPr>
      <w:rFonts w:ascii="Arial" w:hAnsi="Arial" w:cs="Arial"/>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72918"/>
  </w:style>
  <w:style w:type="paragraph" w:customStyle="1" w:styleId="Level1">
    <w:name w:val="Level 1"/>
    <w:basedOn w:val="Normal"/>
    <w:rsid w:val="00172918"/>
    <w:pPr>
      <w:numPr>
        <w:numId w:val="1"/>
      </w:numPr>
      <w:ind w:left="720" w:hanging="720"/>
      <w:outlineLvl w:val="0"/>
    </w:pPr>
  </w:style>
  <w:style w:type="paragraph" w:styleId="Footer">
    <w:name w:val="footer"/>
    <w:basedOn w:val="Normal"/>
    <w:rsid w:val="00172918"/>
    <w:pPr>
      <w:tabs>
        <w:tab w:val="center" w:pos="4320"/>
        <w:tab w:val="right" w:pos="8640"/>
      </w:tabs>
    </w:pPr>
  </w:style>
  <w:style w:type="paragraph" w:styleId="Header">
    <w:name w:val="header"/>
    <w:basedOn w:val="Normal"/>
    <w:rsid w:val="00172918"/>
    <w:pPr>
      <w:tabs>
        <w:tab w:val="center" w:pos="4320"/>
        <w:tab w:val="right" w:pos="8640"/>
      </w:tabs>
    </w:pPr>
  </w:style>
  <w:style w:type="character" w:styleId="PageNumber">
    <w:name w:val="page number"/>
    <w:basedOn w:val="DefaultParagraphFont"/>
    <w:rsid w:val="00172918"/>
  </w:style>
  <w:style w:type="paragraph" w:customStyle="1" w:styleId="PPTitle">
    <w:name w:val="P&amp;PTitle"/>
    <w:basedOn w:val="Heading1"/>
    <w:rsid w:val="00172918"/>
    <w:pPr>
      <w:widowControl/>
      <w:tabs>
        <w:tab w:val="left" w:pos="-1080"/>
        <w:tab w:val="left" w:pos="-720"/>
        <w:tab w:val="left" w:pos="-90"/>
        <w:tab w:val="left" w:pos="720"/>
      </w:tabs>
      <w:ind w:right="0"/>
      <w:jc w:val="center"/>
    </w:pPr>
    <w:rPr>
      <w:rFonts w:ascii="Verdana" w:hAnsi="Verdana"/>
      <w:sz w:val="28"/>
      <w:u w:val="none"/>
    </w:rPr>
  </w:style>
  <w:style w:type="paragraph" w:customStyle="1" w:styleId="HeaderSection">
    <w:name w:val="HeaderSection"/>
    <w:basedOn w:val="Normal"/>
    <w:autoRedefine/>
    <w:rsid w:val="00172918"/>
    <w:pPr>
      <w:widowControl/>
      <w:spacing w:after="80"/>
      <w:jc w:val="center"/>
    </w:pPr>
    <w:rPr>
      <w:rFonts w:ascii="Arial Black" w:hAnsi="Arial Black"/>
      <w:sz w:val="16"/>
    </w:rPr>
  </w:style>
  <w:style w:type="paragraph" w:customStyle="1" w:styleId="Style">
    <w:name w:val="Style"/>
    <w:basedOn w:val="Normal"/>
    <w:rsid w:val="00172918"/>
    <w:pPr>
      <w:ind w:left="720" w:hanging="720"/>
    </w:pPr>
  </w:style>
  <w:style w:type="paragraph" w:styleId="BodyText">
    <w:name w:val="Body Text"/>
    <w:basedOn w:val="Normal"/>
    <w:rsid w:val="00172918"/>
    <w:pPr>
      <w:ind w:right="14"/>
      <w:jc w:val="both"/>
    </w:pPr>
    <w:rPr>
      <w:rFonts w:ascii="Arial" w:hAnsi="Arial" w:cs="Arial"/>
      <w:sz w:val="22"/>
    </w:rPr>
  </w:style>
  <w:style w:type="paragraph" w:styleId="BalloonText">
    <w:name w:val="Balloon Text"/>
    <w:basedOn w:val="Normal"/>
    <w:semiHidden/>
    <w:rsid w:val="0079578B"/>
    <w:rPr>
      <w:rFonts w:ascii="Tahoma" w:hAnsi="Tahoma" w:cs="Tahoma"/>
      <w:sz w:val="16"/>
      <w:szCs w:val="16"/>
    </w:rPr>
  </w:style>
  <w:style w:type="paragraph" w:customStyle="1" w:styleId="Default">
    <w:name w:val="Default"/>
    <w:rsid w:val="0057543F"/>
    <w:pPr>
      <w:autoSpaceDE w:val="0"/>
      <w:autoSpaceDN w:val="0"/>
      <w:adjustRightInd w:val="0"/>
    </w:pPr>
    <w:rPr>
      <w:rFonts w:ascii="Futura Std Book" w:eastAsiaTheme="minorHAnsi" w:hAnsi="Futura Std Book" w:cs="Futura Std Book"/>
      <w:color w:val="000000"/>
      <w:sz w:val="24"/>
      <w:szCs w:val="24"/>
    </w:rPr>
  </w:style>
  <w:style w:type="character" w:customStyle="1" w:styleId="A1">
    <w:name w:val="A1"/>
    <w:uiPriority w:val="99"/>
    <w:rsid w:val="0057543F"/>
    <w:rPr>
      <w:rFonts w:cs="Futura Std Book"/>
      <w:color w:val="221E1F"/>
      <w:sz w:val="18"/>
      <w:szCs w:val="18"/>
    </w:rPr>
  </w:style>
  <w:style w:type="paragraph" w:styleId="ListParagraph">
    <w:name w:val="List Paragraph"/>
    <w:basedOn w:val="Normal"/>
    <w:uiPriority w:val="34"/>
    <w:qFormat/>
    <w:rsid w:val="00D27E3B"/>
    <w:pPr>
      <w:ind w:left="720"/>
      <w:contextualSpacing/>
    </w:pPr>
  </w:style>
  <w:style w:type="character" w:styleId="Hyperlink">
    <w:name w:val="Hyperlink"/>
    <w:basedOn w:val="DefaultParagraphFont"/>
    <w:rsid w:val="004313E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7712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G:\Approved%20Forms%202015\Fax%20Cover%20Shee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Island Health Care, Inc</vt:lpstr>
    </vt:vector>
  </TitlesOfParts>
  <Company>Dell Computer Corporation</Company>
  <LinksUpToDate>false</LinksUpToDate>
  <CharactersWithSpaces>7097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Island Health Care, Inc</dc:title>
  <dc:creator>Island Health Care</dc:creator>
  <cp:lastModifiedBy>cwilliams</cp:lastModifiedBy>
  <cp:revision>2</cp:revision>
  <cp:lastPrinted>2018-03-13T14:45:00Z</cp:lastPrinted>
  <dcterms:created xsi:type="dcterms:W3CDTF">2018-04-24T17:07:00Z</dcterms:created>
  <dcterms:modified xsi:type="dcterms:W3CDTF">2018-04-24T17:07:00Z</dcterms:modified>
</cp:coreProperties>
</file>