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8"/>
        <w:gridCol w:w="2539"/>
        <w:gridCol w:w="4779"/>
      </w:tblGrid>
      <w:tr w:rsidR="003E22F1" w:rsidTr="003E22F1">
        <w:trPr>
          <w:cantSplit/>
          <w:trHeight w:val="265"/>
        </w:trPr>
        <w:tc>
          <w:tcPr>
            <w:tcW w:w="4320" w:type="dxa"/>
            <w:vMerge w:val="restart"/>
          </w:tcPr>
          <w:p w:rsidR="003E22F1" w:rsidRPr="003E22F1" w:rsidRDefault="003E22F1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sz w:val="36"/>
                <w:szCs w:val="28"/>
              </w:rPr>
            </w:pPr>
            <w:r w:rsidRPr="003E22F1">
              <w:rPr>
                <w:rFonts w:cs="Arial"/>
                <w:noProof/>
                <w:spacing w:val="-1"/>
                <w:sz w:val="36"/>
                <w:szCs w:val="28"/>
              </w:rPr>
              <w:t>Standards of Practice</w:t>
            </w:r>
          </w:p>
          <w:p w:rsidR="003E22F1" w:rsidRPr="003E22F1" w:rsidRDefault="003E22F1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3E22F1" w:rsidRPr="003E22F1" w:rsidRDefault="003E22F1">
            <w:pPr>
              <w:spacing w:before="40"/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5682" w:type="dxa"/>
            <w:tcBorders>
              <w:left w:val="nil"/>
            </w:tcBorders>
          </w:tcPr>
          <w:p w:rsidR="003E22F1" w:rsidRPr="004E5FEA" w:rsidRDefault="004E5FEA" w:rsidP="003E22F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2017</w:t>
            </w:r>
          </w:p>
        </w:tc>
      </w:tr>
      <w:tr w:rsidR="003E22F1" w:rsidTr="003E22F1">
        <w:trPr>
          <w:cantSplit/>
          <w:trHeight w:val="265"/>
        </w:trPr>
        <w:tc>
          <w:tcPr>
            <w:tcW w:w="4320" w:type="dxa"/>
            <w:vMerge/>
          </w:tcPr>
          <w:p w:rsidR="003E22F1" w:rsidRPr="003E22F1" w:rsidRDefault="003E22F1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noProof/>
                <w:spacing w:val="-1"/>
                <w:sz w:val="36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3E22F1" w:rsidRPr="003E22F1" w:rsidRDefault="003E22F1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3E22F1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5682" w:type="dxa"/>
            <w:tcBorders>
              <w:left w:val="nil"/>
            </w:tcBorders>
          </w:tcPr>
          <w:p w:rsidR="003E22F1" w:rsidRPr="004E5FEA" w:rsidRDefault="004E5FEA" w:rsidP="003E22F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2017</w:t>
            </w:r>
          </w:p>
        </w:tc>
      </w:tr>
      <w:tr w:rsidR="003E22F1" w:rsidTr="003E22F1">
        <w:trPr>
          <w:cantSplit/>
          <w:trHeight w:val="827"/>
        </w:trPr>
        <w:tc>
          <w:tcPr>
            <w:tcW w:w="4320" w:type="dxa"/>
            <w:vMerge/>
          </w:tcPr>
          <w:p w:rsidR="003E22F1" w:rsidRDefault="003E22F1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3E22F1" w:rsidRPr="003E22F1" w:rsidRDefault="003E22F1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E22F1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682" w:type="dxa"/>
            <w:tcBorders>
              <w:left w:val="nil"/>
            </w:tcBorders>
          </w:tcPr>
          <w:p w:rsidR="003E22F1" w:rsidRPr="003E22F1" w:rsidRDefault="003E22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</w:rPr>
              <w:t>Island Health Care</w:t>
            </w:r>
          </w:p>
          <w:p w:rsidR="003E22F1" w:rsidRPr="003E22F1" w:rsidRDefault="003E22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</w:rPr>
              <w:t>Island Hospice</w:t>
            </w:r>
          </w:p>
          <w:p w:rsidR="003E22F1" w:rsidRPr="003E22F1" w:rsidRDefault="003E22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</w:rPr>
              <w:t>Independent Life at Home</w:t>
            </w:r>
          </w:p>
          <w:p w:rsidR="003E22F1" w:rsidRPr="003E22F1" w:rsidRDefault="003E22F1" w:rsidP="00C1477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</w:rPr>
              <w:t>Ideal Aging</w:t>
            </w:r>
          </w:p>
          <w:p w:rsidR="003E22F1" w:rsidRPr="0074711F" w:rsidRDefault="003E22F1" w:rsidP="003E22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</w:rPr>
              <w:t>RightHealth</w:t>
            </w:r>
            <w:r w:rsidRPr="003E22F1">
              <w:rPr>
                <w:rFonts w:ascii="Arial" w:hAnsi="Arial" w:cs="Arial"/>
                <w:vertAlign w:val="superscript"/>
              </w:rPr>
              <w:t>®</w:t>
            </w:r>
          </w:p>
          <w:p w:rsidR="0074711F" w:rsidRPr="003E22F1" w:rsidRDefault="0074711F" w:rsidP="003E22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RightHealth Clinic</w:t>
            </w:r>
            <w:r w:rsidR="00F252FF">
              <w:rPr>
                <w:rFonts w:ascii="Arial" w:hAnsi="Arial" w:cs="Arial"/>
              </w:rPr>
              <w:t xml:space="preserve"> at the Marshes</w:t>
            </w:r>
          </w:p>
        </w:tc>
      </w:tr>
      <w:tr w:rsidR="003E22F1" w:rsidTr="003E22F1">
        <w:trPr>
          <w:cantSplit/>
          <w:trHeight w:val="827"/>
        </w:trPr>
        <w:tc>
          <w:tcPr>
            <w:tcW w:w="4320" w:type="dxa"/>
            <w:vMerge/>
          </w:tcPr>
          <w:p w:rsidR="003E22F1" w:rsidRDefault="003E22F1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3E22F1" w:rsidRPr="003E22F1" w:rsidRDefault="003E22F1" w:rsidP="000E15CA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E22F1">
              <w:rPr>
                <w:rFonts w:ascii="Arial" w:hAnsi="Arial" w:cs="Arial"/>
                <w:b/>
                <w:bCs/>
              </w:rPr>
              <w:t>Included in the following THA Manual</w:t>
            </w:r>
          </w:p>
        </w:tc>
        <w:tc>
          <w:tcPr>
            <w:tcW w:w="5682" w:type="dxa"/>
            <w:tcBorders>
              <w:left w:val="nil"/>
            </w:tcBorders>
          </w:tcPr>
          <w:p w:rsidR="003E22F1" w:rsidRPr="003E22F1" w:rsidRDefault="003E22F1" w:rsidP="003E22F1">
            <w:pPr>
              <w:rPr>
                <w:rFonts w:ascii="Arial" w:hAnsi="Arial" w:cs="Arial"/>
                <w:bCs/>
              </w:rPr>
            </w:pPr>
            <w:r w:rsidRPr="003E22F1">
              <w:rPr>
                <w:rFonts w:ascii="Arial" w:hAnsi="Arial" w:cs="Arial"/>
                <w:bCs/>
              </w:rPr>
              <w:t>Administrative Policies &amp; Procedures</w:t>
            </w:r>
          </w:p>
          <w:p w:rsidR="003E22F1" w:rsidRPr="003E22F1" w:rsidRDefault="003E22F1" w:rsidP="003E22F1">
            <w:pPr>
              <w:ind w:left="383"/>
              <w:rPr>
                <w:rFonts w:ascii="Arial" w:hAnsi="Arial" w:cs="Arial"/>
              </w:rPr>
            </w:pPr>
            <w:r w:rsidRPr="003E22F1">
              <w:rPr>
                <w:rFonts w:ascii="Arial" w:hAnsi="Arial" w:cs="Arial"/>
                <w:bCs/>
              </w:rPr>
              <w:t>Ethics, Rights, and Responsibilities</w:t>
            </w:r>
          </w:p>
        </w:tc>
      </w:tr>
    </w:tbl>
    <w:p w:rsidR="00C42CF4" w:rsidRPr="003E22F1" w:rsidRDefault="00C42CF4" w:rsidP="003E22F1">
      <w:pPr>
        <w:rPr>
          <w:rFonts w:ascii="Arial" w:hAnsi="Arial" w:cs="Arial"/>
          <w:szCs w:val="24"/>
        </w:rPr>
      </w:pPr>
    </w:p>
    <w:p w:rsidR="00D144D6" w:rsidRPr="003E22F1" w:rsidRDefault="00D144D6" w:rsidP="003E22F1">
      <w:pPr>
        <w:pStyle w:val="Heading6"/>
        <w:spacing w:before="0" w:after="0"/>
        <w:rPr>
          <w:sz w:val="24"/>
          <w:szCs w:val="24"/>
        </w:rPr>
      </w:pPr>
      <w:r w:rsidRPr="003E22F1">
        <w:rPr>
          <w:sz w:val="24"/>
          <w:szCs w:val="24"/>
        </w:rPr>
        <w:t>PURPOSE</w:t>
      </w:r>
    </w:p>
    <w:p w:rsidR="00053790" w:rsidRPr="003E22F1" w:rsidRDefault="00053790" w:rsidP="003E22F1">
      <w:pPr>
        <w:rPr>
          <w:szCs w:val="24"/>
        </w:rPr>
      </w:pPr>
    </w:p>
    <w:p w:rsidR="00D144D6" w:rsidRPr="003E22F1" w:rsidRDefault="00D144D6" w:rsidP="003E22F1">
      <w:pPr>
        <w:rPr>
          <w:rFonts w:ascii="Arial" w:hAnsi="Arial" w:cs="Arial"/>
          <w:szCs w:val="24"/>
        </w:rPr>
      </w:pPr>
      <w:proofErr w:type="gramStart"/>
      <w:r w:rsidRPr="003E22F1">
        <w:rPr>
          <w:rFonts w:ascii="Arial" w:hAnsi="Arial" w:cs="Arial"/>
          <w:szCs w:val="24"/>
        </w:rPr>
        <w:t xml:space="preserve">To provide patient care within acceptable standards of practice by </w:t>
      </w:r>
      <w:r w:rsidR="008C48A3" w:rsidRPr="003E22F1">
        <w:rPr>
          <w:rFonts w:ascii="Arial" w:hAnsi="Arial" w:cs="Arial"/>
          <w:szCs w:val="24"/>
        </w:rPr>
        <w:t>THA Grou</w:t>
      </w:r>
      <w:r w:rsidR="003E22F1">
        <w:rPr>
          <w:rFonts w:ascii="Arial" w:hAnsi="Arial" w:cs="Arial"/>
          <w:szCs w:val="24"/>
        </w:rPr>
        <w:t>p</w:t>
      </w:r>
      <w:r w:rsidRPr="003E22F1">
        <w:rPr>
          <w:rFonts w:ascii="Arial" w:hAnsi="Arial" w:cs="Arial"/>
          <w:szCs w:val="24"/>
        </w:rPr>
        <w:t>.</w:t>
      </w:r>
      <w:proofErr w:type="gramEnd"/>
    </w:p>
    <w:p w:rsidR="00D144D6" w:rsidRPr="003E22F1" w:rsidRDefault="00D144D6" w:rsidP="003E22F1">
      <w:pPr>
        <w:pStyle w:val="Heading6"/>
        <w:spacing w:before="0" w:after="0"/>
        <w:rPr>
          <w:sz w:val="24"/>
          <w:szCs w:val="24"/>
        </w:rPr>
      </w:pPr>
    </w:p>
    <w:p w:rsidR="00C42CF4" w:rsidRPr="003E22F1" w:rsidRDefault="00C42CF4" w:rsidP="003E22F1">
      <w:pPr>
        <w:pStyle w:val="Heading6"/>
        <w:spacing w:before="0" w:after="0"/>
        <w:rPr>
          <w:sz w:val="24"/>
          <w:szCs w:val="24"/>
        </w:rPr>
      </w:pPr>
      <w:r w:rsidRPr="003E22F1">
        <w:rPr>
          <w:sz w:val="24"/>
          <w:szCs w:val="24"/>
        </w:rPr>
        <w:t xml:space="preserve">POLICY </w:t>
      </w:r>
    </w:p>
    <w:p w:rsidR="00053790" w:rsidRPr="003E22F1" w:rsidRDefault="00053790" w:rsidP="003E22F1">
      <w:pPr>
        <w:rPr>
          <w:szCs w:val="24"/>
        </w:rPr>
      </w:pPr>
    </w:p>
    <w:p w:rsidR="00C42CF4" w:rsidRPr="003E22F1" w:rsidRDefault="008C48A3" w:rsidP="003E22F1">
      <w:pPr>
        <w:rPr>
          <w:rFonts w:ascii="Arial" w:hAnsi="Arial" w:cs="Arial"/>
          <w:szCs w:val="24"/>
        </w:rPr>
      </w:pPr>
      <w:r w:rsidRPr="003E22F1">
        <w:rPr>
          <w:rFonts w:ascii="Arial" w:hAnsi="Arial" w:cs="Arial"/>
          <w:szCs w:val="24"/>
        </w:rPr>
        <w:t>THA Group</w:t>
      </w:r>
      <w:r w:rsidR="00D144D6" w:rsidRPr="003E22F1">
        <w:rPr>
          <w:rFonts w:ascii="Arial" w:hAnsi="Arial" w:cs="Arial"/>
          <w:szCs w:val="24"/>
        </w:rPr>
        <w:t xml:space="preserve"> will provide patient care in accordance with the professional staff</w:t>
      </w:r>
      <w:r w:rsidR="00846A47" w:rsidRPr="003E22F1">
        <w:rPr>
          <w:rFonts w:ascii="Arial" w:hAnsi="Arial" w:cs="Arial"/>
          <w:szCs w:val="24"/>
        </w:rPr>
        <w:t>’</w:t>
      </w:r>
      <w:r w:rsidR="00D144D6" w:rsidRPr="003E22F1">
        <w:rPr>
          <w:rFonts w:ascii="Arial" w:hAnsi="Arial" w:cs="Arial"/>
          <w:szCs w:val="24"/>
        </w:rPr>
        <w:t>s State Practice Act for acceptable standards of practice and as defined in A</w:t>
      </w:r>
      <w:r w:rsidR="00053790" w:rsidRPr="003E22F1">
        <w:rPr>
          <w:rFonts w:ascii="Arial" w:hAnsi="Arial" w:cs="Arial"/>
          <w:szCs w:val="24"/>
        </w:rPr>
        <w:t>gency’s policies and procedures including THA Group’s Value and Ethics Compliance Program.</w:t>
      </w:r>
      <w:r w:rsidR="00D144D6" w:rsidRPr="003E22F1">
        <w:rPr>
          <w:rFonts w:ascii="Arial" w:hAnsi="Arial" w:cs="Arial"/>
          <w:szCs w:val="24"/>
        </w:rPr>
        <w:t xml:space="preserve"> </w:t>
      </w:r>
    </w:p>
    <w:p w:rsidR="00266B25" w:rsidRPr="003E22F1" w:rsidRDefault="00DD103C" w:rsidP="00DD103C">
      <w:pPr>
        <w:tabs>
          <w:tab w:val="left" w:pos="625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42CF4" w:rsidRPr="003E22F1" w:rsidRDefault="009E7B60" w:rsidP="003E22F1">
      <w:pPr>
        <w:pStyle w:val="Heading3"/>
        <w:spacing w:before="0" w:after="0"/>
        <w:jc w:val="left"/>
        <w:rPr>
          <w:sz w:val="24"/>
          <w:szCs w:val="24"/>
        </w:rPr>
      </w:pPr>
      <w:r w:rsidRPr="003E22F1">
        <w:rPr>
          <w:sz w:val="24"/>
          <w:szCs w:val="24"/>
        </w:rPr>
        <w:t xml:space="preserve">PROCEDURE </w:t>
      </w:r>
    </w:p>
    <w:p w:rsidR="00053790" w:rsidRPr="003E22F1" w:rsidRDefault="00053790" w:rsidP="003E22F1">
      <w:pPr>
        <w:rPr>
          <w:szCs w:val="24"/>
        </w:rPr>
      </w:pPr>
    </w:p>
    <w:p w:rsidR="009E7B60" w:rsidRPr="003E22F1" w:rsidRDefault="008C48A3" w:rsidP="003E22F1">
      <w:pPr>
        <w:numPr>
          <w:ilvl w:val="0"/>
          <w:numId w:val="8"/>
        </w:numPr>
        <w:rPr>
          <w:rFonts w:ascii="Arial" w:hAnsi="Arial" w:cs="Arial"/>
          <w:bCs/>
          <w:szCs w:val="24"/>
        </w:rPr>
      </w:pPr>
      <w:r w:rsidRPr="003E22F1">
        <w:rPr>
          <w:rFonts w:ascii="Arial" w:hAnsi="Arial" w:cs="Arial"/>
          <w:bCs/>
          <w:szCs w:val="24"/>
        </w:rPr>
        <w:t>THA Group</w:t>
      </w:r>
      <w:r w:rsidR="009E7B60" w:rsidRPr="003E22F1">
        <w:rPr>
          <w:rFonts w:ascii="Arial" w:hAnsi="Arial" w:cs="Arial"/>
          <w:bCs/>
          <w:szCs w:val="24"/>
        </w:rPr>
        <w:t xml:space="preserve"> will have available for staff the State Practice Acts as well as </w:t>
      </w:r>
      <w:r w:rsidRPr="003E22F1">
        <w:rPr>
          <w:rFonts w:ascii="Arial" w:hAnsi="Arial" w:cs="Arial"/>
          <w:bCs/>
          <w:szCs w:val="24"/>
        </w:rPr>
        <w:t>THA Group</w:t>
      </w:r>
      <w:r w:rsidR="00053790" w:rsidRPr="003E22F1">
        <w:rPr>
          <w:rFonts w:ascii="Arial" w:hAnsi="Arial" w:cs="Arial"/>
          <w:bCs/>
          <w:szCs w:val="24"/>
        </w:rPr>
        <w:t>’s</w:t>
      </w:r>
      <w:r w:rsidR="009E7B60" w:rsidRPr="003E22F1">
        <w:rPr>
          <w:rFonts w:ascii="Arial" w:hAnsi="Arial" w:cs="Arial"/>
          <w:bCs/>
          <w:szCs w:val="24"/>
        </w:rPr>
        <w:t xml:space="preserve"> policies and procedures.</w:t>
      </w:r>
    </w:p>
    <w:p w:rsidR="00053790" w:rsidRPr="003E22F1" w:rsidRDefault="00053790" w:rsidP="003E22F1">
      <w:pPr>
        <w:rPr>
          <w:rFonts w:ascii="Arial" w:hAnsi="Arial" w:cs="Arial"/>
          <w:bCs/>
          <w:szCs w:val="24"/>
        </w:rPr>
      </w:pPr>
    </w:p>
    <w:p w:rsidR="009E7B60" w:rsidRPr="003E22F1" w:rsidRDefault="008C48A3" w:rsidP="003E22F1">
      <w:pPr>
        <w:numPr>
          <w:ilvl w:val="0"/>
          <w:numId w:val="8"/>
        </w:numPr>
        <w:rPr>
          <w:rFonts w:ascii="Arial" w:hAnsi="Arial" w:cs="Arial"/>
          <w:bCs/>
          <w:szCs w:val="24"/>
        </w:rPr>
      </w:pPr>
      <w:r w:rsidRPr="003E22F1">
        <w:rPr>
          <w:rFonts w:ascii="Arial" w:hAnsi="Arial" w:cs="Arial"/>
          <w:bCs/>
          <w:szCs w:val="24"/>
        </w:rPr>
        <w:t>THA Group</w:t>
      </w:r>
      <w:r w:rsidR="009E7B60" w:rsidRPr="003E22F1">
        <w:rPr>
          <w:rFonts w:ascii="Arial" w:hAnsi="Arial" w:cs="Arial"/>
          <w:bCs/>
          <w:szCs w:val="24"/>
        </w:rPr>
        <w:t xml:space="preserve"> will provide ongoing educational opportunities and updates for </w:t>
      </w:r>
      <w:r w:rsidRPr="003E22F1">
        <w:rPr>
          <w:rFonts w:ascii="Arial" w:hAnsi="Arial" w:cs="Arial"/>
          <w:bCs/>
          <w:szCs w:val="24"/>
        </w:rPr>
        <w:t>THA Group</w:t>
      </w:r>
      <w:r w:rsidR="009E7B60" w:rsidRPr="003E22F1">
        <w:rPr>
          <w:rFonts w:ascii="Arial" w:hAnsi="Arial" w:cs="Arial"/>
          <w:bCs/>
          <w:szCs w:val="24"/>
        </w:rPr>
        <w:t xml:space="preserve"> staff by means of verbal and/or written communication.</w:t>
      </w:r>
      <w:r w:rsidR="00053790" w:rsidRPr="003E22F1">
        <w:rPr>
          <w:rFonts w:ascii="Arial" w:hAnsi="Arial" w:cs="Arial"/>
          <w:bCs/>
          <w:szCs w:val="24"/>
        </w:rPr>
        <w:br/>
      </w:r>
    </w:p>
    <w:p w:rsidR="009E7B60" w:rsidRPr="003E22F1" w:rsidRDefault="009E7B60" w:rsidP="003E22F1">
      <w:pPr>
        <w:numPr>
          <w:ilvl w:val="0"/>
          <w:numId w:val="8"/>
        </w:numPr>
        <w:rPr>
          <w:rFonts w:ascii="Arial" w:hAnsi="Arial" w:cs="Arial"/>
          <w:bCs/>
          <w:szCs w:val="24"/>
        </w:rPr>
      </w:pPr>
      <w:r w:rsidRPr="003E22F1">
        <w:rPr>
          <w:rFonts w:ascii="Arial" w:hAnsi="Arial" w:cs="Arial"/>
          <w:bCs/>
          <w:szCs w:val="24"/>
        </w:rPr>
        <w:t>Patient care staff will adhere to the respective State Practice Acts, as well a</w:t>
      </w:r>
      <w:r w:rsidR="00D5265D" w:rsidRPr="003E22F1">
        <w:rPr>
          <w:rFonts w:ascii="Arial" w:hAnsi="Arial" w:cs="Arial"/>
          <w:bCs/>
          <w:szCs w:val="24"/>
        </w:rPr>
        <w:t>s</w:t>
      </w:r>
      <w:r w:rsidRPr="003E22F1">
        <w:rPr>
          <w:rFonts w:ascii="Arial" w:hAnsi="Arial" w:cs="Arial"/>
          <w:bCs/>
          <w:szCs w:val="24"/>
        </w:rPr>
        <w:t xml:space="preserve"> to all policies and procedures established by </w:t>
      </w:r>
      <w:r w:rsidR="008C48A3" w:rsidRPr="003E22F1">
        <w:rPr>
          <w:rFonts w:ascii="Arial" w:hAnsi="Arial" w:cs="Arial"/>
          <w:bCs/>
          <w:szCs w:val="24"/>
        </w:rPr>
        <w:t>THA Group</w:t>
      </w:r>
      <w:r w:rsidRPr="003E22F1">
        <w:rPr>
          <w:rFonts w:ascii="Arial" w:hAnsi="Arial" w:cs="Arial"/>
          <w:bCs/>
          <w:szCs w:val="24"/>
        </w:rPr>
        <w:t xml:space="preserve"> during patient visits.</w:t>
      </w:r>
    </w:p>
    <w:p w:rsidR="00C42CF4" w:rsidRPr="003E22F1" w:rsidRDefault="00C42CF4" w:rsidP="003E22F1">
      <w:pPr>
        <w:rPr>
          <w:rFonts w:ascii="Arial" w:hAnsi="Arial" w:cs="Arial"/>
          <w:szCs w:val="24"/>
        </w:rPr>
      </w:pPr>
    </w:p>
    <w:p w:rsidR="00280241" w:rsidRPr="003E22F1" w:rsidRDefault="00280241" w:rsidP="003E22F1">
      <w:pPr>
        <w:rPr>
          <w:rFonts w:ascii="Arial" w:hAnsi="Arial" w:cs="Arial"/>
          <w:szCs w:val="24"/>
        </w:rPr>
      </w:pPr>
    </w:p>
    <w:p w:rsidR="00280241" w:rsidRPr="003E22F1" w:rsidRDefault="00280241" w:rsidP="003E22F1">
      <w:pPr>
        <w:rPr>
          <w:rFonts w:ascii="Arial" w:hAnsi="Arial" w:cs="Arial"/>
          <w:szCs w:val="24"/>
        </w:rPr>
      </w:pPr>
    </w:p>
    <w:p w:rsidR="00280241" w:rsidRPr="003E22F1" w:rsidRDefault="00280241" w:rsidP="003E22F1">
      <w:pPr>
        <w:rPr>
          <w:rFonts w:ascii="Arial" w:hAnsi="Arial" w:cs="Arial"/>
          <w:szCs w:val="24"/>
        </w:rPr>
      </w:pPr>
    </w:p>
    <w:p w:rsidR="00C42CF4" w:rsidRPr="003E22F1" w:rsidRDefault="00C42CF4" w:rsidP="003E22F1">
      <w:pPr>
        <w:rPr>
          <w:rFonts w:ascii="Arial" w:hAnsi="Arial" w:cs="Arial"/>
          <w:szCs w:val="24"/>
        </w:rPr>
      </w:pPr>
    </w:p>
    <w:p w:rsidR="00C42CF4" w:rsidRPr="003E22F1" w:rsidRDefault="00C42CF4" w:rsidP="003E22F1">
      <w:pPr>
        <w:pStyle w:val="Heading4"/>
        <w:spacing w:before="0" w:after="0"/>
        <w:rPr>
          <w:sz w:val="24"/>
          <w:szCs w:val="24"/>
        </w:rPr>
      </w:pPr>
    </w:p>
    <w:sectPr w:rsidR="00C42CF4" w:rsidRPr="003E22F1" w:rsidSect="003E22F1">
      <w:footerReference w:type="even" r:id="rId7"/>
      <w:footerReference w:type="default" r:id="rId8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41" w:rsidRDefault="008A5841">
      <w:r>
        <w:separator/>
      </w:r>
    </w:p>
  </w:endnote>
  <w:endnote w:type="continuationSeparator" w:id="0">
    <w:p w:rsidR="008A5841" w:rsidRDefault="008A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B0" w:rsidRDefault="00D2477B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D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DB0" w:rsidRDefault="00437DB0" w:rsidP="00755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B0" w:rsidRPr="00DD103C" w:rsidRDefault="00DD103C" w:rsidP="003E22F1">
    <w:pPr>
      <w:pStyle w:val="Footer"/>
      <w:ind w:right="360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G:\Policies and Procedures\Administrative Policy and Procedure </w:t>
    </w:r>
    <w:proofErr w:type="spellStart"/>
    <w:r>
      <w:rPr>
        <w:sz w:val="16"/>
        <w:szCs w:val="16"/>
      </w:rPr>
      <w:t>Manaul</w:t>
    </w:r>
    <w:proofErr w:type="spellEnd"/>
    <w:r>
      <w:rPr>
        <w:sz w:val="16"/>
        <w:szCs w:val="16"/>
      </w:rPr>
      <w:t xml:space="preserve">\Ethics, Rights, &amp; Responsibilities\Standards of </w:t>
    </w:r>
    <w:proofErr w:type="spellStart"/>
    <w:r>
      <w:rPr>
        <w:sz w:val="16"/>
        <w:szCs w:val="16"/>
      </w:rPr>
      <w:t>Practice.doc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41" w:rsidRDefault="008A5841">
      <w:r>
        <w:separator/>
      </w:r>
    </w:p>
  </w:footnote>
  <w:footnote w:type="continuationSeparator" w:id="0">
    <w:p w:rsidR="008A5841" w:rsidRDefault="008A5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BD4D70"/>
    <w:multiLevelType w:val="hybridMultilevel"/>
    <w:tmpl w:val="5534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953364"/>
    <w:multiLevelType w:val="hybridMultilevel"/>
    <w:tmpl w:val="7E66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4A6E"/>
    <w:rsid w:val="000324A0"/>
    <w:rsid w:val="0004551E"/>
    <w:rsid w:val="00053520"/>
    <w:rsid w:val="00053790"/>
    <w:rsid w:val="00090A68"/>
    <w:rsid w:val="000B004E"/>
    <w:rsid w:val="000B6BC1"/>
    <w:rsid w:val="000D6A29"/>
    <w:rsid w:val="000E1126"/>
    <w:rsid w:val="000E15CA"/>
    <w:rsid w:val="00192DCA"/>
    <w:rsid w:val="001A1A32"/>
    <w:rsid w:val="001E323C"/>
    <w:rsid w:val="002000EB"/>
    <w:rsid w:val="00211111"/>
    <w:rsid w:val="00266B25"/>
    <w:rsid w:val="00280241"/>
    <w:rsid w:val="002B3523"/>
    <w:rsid w:val="0030382F"/>
    <w:rsid w:val="003622EE"/>
    <w:rsid w:val="003E0976"/>
    <w:rsid w:val="003E22F1"/>
    <w:rsid w:val="0040681F"/>
    <w:rsid w:val="004370DF"/>
    <w:rsid w:val="00437DB0"/>
    <w:rsid w:val="00440AA0"/>
    <w:rsid w:val="00446155"/>
    <w:rsid w:val="004876FE"/>
    <w:rsid w:val="004967DC"/>
    <w:rsid w:val="004C55DB"/>
    <w:rsid w:val="004D1A29"/>
    <w:rsid w:val="004E5FEA"/>
    <w:rsid w:val="0050135B"/>
    <w:rsid w:val="00512945"/>
    <w:rsid w:val="005532C6"/>
    <w:rsid w:val="0057100D"/>
    <w:rsid w:val="005C382F"/>
    <w:rsid w:val="0061318F"/>
    <w:rsid w:val="0064747B"/>
    <w:rsid w:val="00653C0E"/>
    <w:rsid w:val="00672BDA"/>
    <w:rsid w:val="0069294B"/>
    <w:rsid w:val="00692CCE"/>
    <w:rsid w:val="006C6A53"/>
    <w:rsid w:val="006D4BAF"/>
    <w:rsid w:val="00703087"/>
    <w:rsid w:val="0074711F"/>
    <w:rsid w:val="007555C8"/>
    <w:rsid w:val="00761532"/>
    <w:rsid w:val="00785DE0"/>
    <w:rsid w:val="00793AAB"/>
    <w:rsid w:val="007963B7"/>
    <w:rsid w:val="007B2EEE"/>
    <w:rsid w:val="00806242"/>
    <w:rsid w:val="00827740"/>
    <w:rsid w:val="00846A47"/>
    <w:rsid w:val="00847278"/>
    <w:rsid w:val="00855501"/>
    <w:rsid w:val="008A4E36"/>
    <w:rsid w:val="008A5841"/>
    <w:rsid w:val="008B2765"/>
    <w:rsid w:val="008C48A3"/>
    <w:rsid w:val="009250A4"/>
    <w:rsid w:val="00956952"/>
    <w:rsid w:val="00973C01"/>
    <w:rsid w:val="009B5D3C"/>
    <w:rsid w:val="009C0A4E"/>
    <w:rsid w:val="009E7B60"/>
    <w:rsid w:val="00A41123"/>
    <w:rsid w:val="00A42F89"/>
    <w:rsid w:val="00A649F6"/>
    <w:rsid w:val="00A73EC6"/>
    <w:rsid w:val="00A83C6A"/>
    <w:rsid w:val="00AB2A90"/>
    <w:rsid w:val="00AE06E3"/>
    <w:rsid w:val="00B26C74"/>
    <w:rsid w:val="00B767C5"/>
    <w:rsid w:val="00BA59DF"/>
    <w:rsid w:val="00BD20A5"/>
    <w:rsid w:val="00C040AE"/>
    <w:rsid w:val="00C1477B"/>
    <w:rsid w:val="00C15F78"/>
    <w:rsid w:val="00C1665D"/>
    <w:rsid w:val="00C23AE1"/>
    <w:rsid w:val="00C25CEE"/>
    <w:rsid w:val="00C42CF4"/>
    <w:rsid w:val="00C4736E"/>
    <w:rsid w:val="00C75473"/>
    <w:rsid w:val="00CC760A"/>
    <w:rsid w:val="00D029C8"/>
    <w:rsid w:val="00D144D6"/>
    <w:rsid w:val="00D2477B"/>
    <w:rsid w:val="00D2640B"/>
    <w:rsid w:val="00D41100"/>
    <w:rsid w:val="00D5265D"/>
    <w:rsid w:val="00DB64C0"/>
    <w:rsid w:val="00DD103C"/>
    <w:rsid w:val="00DE606E"/>
    <w:rsid w:val="00E22090"/>
    <w:rsid w:val="00E44A6E"/>
    <w:rsid w:val="00E673C2"/>
    <w:rsid w:val="00E93185"/>
    <w:rsid w:val="00EA2372"/>
    <w:rsid w:val="00ED2945"/>
    <w:rsid w:val="00F0046C"/>
    <w:rsid w:val="00F252FF"/>
    <w:rsid w:val="00F325D8"/>
    <w:rsid w:val="00F81F37"/>
    <w:rsid w:val="00FD21A9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EC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73E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73EC6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A73EC6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A73EC6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A73EC6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A73EC6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3EC6"/>
  </w:style>
  <w:style w:type="paragraph" w:customStyle="1" w:styleId="Level1">
    <w:name w:val="Level 1"/>
    <w:basedOn w:val="Normal"/>
    <w:rsid w:val="00A73EC6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A73E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73E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EC6"/>
  </w:style>
  <w:style w:type="paragraph" w:customStyle="1" w:styleId="PPTitle">
    <w:name w:val="P&amp;PTitle"/>
    <w:basedOn w:val="Heading1"/>
    <w:rsid w:val="00A73EC6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A73EC6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A73EC6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A73EC6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2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EE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280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1142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\\IHC-EXCHANGE\2006\Performance Excellence\2014 Practice Acts\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cwilliams</cp:lastModifiedBy>
  <cp:revision>2</cp:revision>
  <cp:lastPrinted>2018-01-10T14:56:00Z</cp:lastPrinted>
  <dcterms:created xsi:type="dcterms:W3CDTF">2018-01-10T14:56:00Z</dcterms:created>
  <dcterms:modified xsi:type="dcterms:W3CDTF">2018-01-10T14:56:00Z</dcterms:modified>
</cp:coreProperties>
</file>