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979"/>
        <w:gridCol w:w="2695"/>
        <w:gridCol w:w="4260"/>
      </w:tblGrid>
      <w:tr w:rsidR="00D3793D" w:rsidRPr="00CB7FD0" w:rsidTr="00D3793D">
        <w:trPr>
          <w:cantSplit/>
          <w:trHeight w:val="321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793D" w:rsidRPr="00CB7FD0" w:rsidRDefault="003D70A9" w:rsidP="00820AFD">
            <w:pPr>
              <w:pStyle w:val="Heading3"/>
              <w:rPr>
                <w:snapToGrid w:val="0"/>
                <w:sz w:val="24"/>
                <w:szCs w:val="24"/>
              </w:rPr>
            </w:pPr>
            <w:r w:rsidRPr="003D70A9">
              <w:rPr>
                <w:snapToGrid w:val="0"/>
                <w:sz w:val="36"/>
                <w:szCs w:val="24"/>
              </w:rPr>
              <w:t>Discharge</w:t>
            </w:r>
            <w:r w:rsidR="00820AFD">
              <w:rPr>
                <w:snapToGrid w:val="0"/>
                <w:sz w:val="36"/>
                <w:szCs w:val="24"/>
              </w:rPr>
              <w:t xml:space="preserve"> (Hospice)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93D" w:rsidRPr="00CB7FD0" w:rsidRDefault="00D3793D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68727D">
              <w:rPr>
                <w:rFonts w:ascii="Arial" w:hAnsi="Arial" w:cs="Arial"/>
                <w:b/>
                <w:bCs/>
                <w:szCs w:val="24"/>
              </w:rPr>
              <w:t>Last Revision</w:t>
            </w:r>
            <w:r>
              <w:rPr>
                <w:rFonts w:ascii="Arial" w:hAnsi="Arial" w:cs="Arial"/>
                <w:szCs w:val="24"/>
              </w:rPr>
              <w:t>:</w:t>
            </w:r>
            <w:r w:rsidRPr="0068727D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3D" w:rsidRPr="00CB7FD0" w:rsidRDefault="00922184" w:rsidP="00E549F7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November 2016</w:t>
            </w:r>
          </w:p>
        </w:tc>
      </w:tr>
      <w:tr w:rsidR="00D3793D" w:rsidRPr="00CB7FD0" w:rsidTr="00D3793D">
        <w:trPr>
          <w:cantSplit/>
          <w:trHeight w:val="321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D" w:rsidRPr="0068727D" w:rsidRDefault="00D3793D">
            <w:pPr>
              <w:pStyle w:val="Heading3"/>
              <w:rPr>
                <w:snapToGrid w:val="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93D" w:rsidRPr="0068727D" w:rsidRDefault="00D3793D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Last Reviewed: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93D" w:rsidRPr="0068727D" w:rsidRDefault="00660BC2" w:rsidP="00927CBC">
            <w:pPr>
              <w:spacing w:before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December 2017</w:t>
            </w:r>
          </w:p>
        </w:tc>
      </w:tr>
      <w:tr w:rsidR="00D3793D" w:rsidRPr="00CB7FD0" w:rsidTr="00D3793D">
        <w:trPr>
          <w:cantSplit/>
          <w:trHeight w:val="489"/>
        </w:trPr>
        <w:tc>
          <w:tcPr>
            <w:tcW w:w="39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793D" w:rsidRPr="00CB7FD0" w:rsidRDefault="00D3793D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1F12" w:rsidRDefault="00D3793D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DB309E">
              <w:rPr>
                <w:rFonts w:ascii="Arial" w:hAnsi="Arial" w:cs="Arial"/>
                <w:b/>
                <w:bCs/>
                <w:szCs w:val="24"/>
              </w:rPr>
              <w:t xml:space="preserve">Applies to the following THA Group of Companies: 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F12" w:rsidRDefault="00D3793D" w:rsidP="00820AFD">
            <w:pPr>
              <w:rPr>
                <w:rFonts w:ascii="Arial" w:hAnsi="Arial" w:cs="Arial"/>
                <w:szCs w:val="24"/>
              </w:rPr>
            </w:pPr>
            <w:r w:rsidRPr="00DB309E">
              <w:rPr>
                <w:rFonts w:ascii="Arial" w:hAnsi="Arial" w:cs="Arial"/>
                <w:szCs w:val="24"/>
              </w:rPr>
              <w:t>Island Hospice</w:t>
            </w:r>
          </w:p>
        </w:tc>
      </w:tr>
      <w:tr w:rsidR="00D3793D" w:rsidRPr="00CB7FD0" w:rsidTr="00D3793D">
        <w:trPr>
          <w:cantSplit/>
          <w:trHeight w:val="1232"/>
        </w:trPr>
        <w:tc>
          <w:tcPr>
            <w:tcW w:w="3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93D" w:rsidRPr="00CB7FD0" w:rsidRDefault="00D3793D">
            <w:pPr>
              <w:pStyle w:val="Heading1"/>
              <w:spacing w:before="120" w:line="360" w:lineRule="exact"/>
              <w:ind w:left="259"/>
              <w:rPr>
                <w:rFonts w:ascii="Arial" w:hAnsi="Arial" w:cs="Arial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3793D" w:rsidRPr="00CB7FD0" w:rsidRDefault="00D3793D" w:rsidP="00982F50">
            <w:pPr>
              <w:spacing w:before="40"/>
              <w:rPr>
                <w:rFonts w:ascii="Arial" w:hAnsi="Arial" w:cs="Arial"/>
                <w:b/>
                <w:bCs/>
                <w:szCs w:val="24"/>
              </w:rPr>
            </w:pPr>
            <w:r w:rsidRPr="0068727D">
              <w:rPr>
                <w:rFonts w:ascii="Arial" w:hAnsi="Arial" w:cs="Arial"/>
                <w:b/>
                <w:bCs/>
                <w:szCs w:val="24"/>
              </w:rPr>
              <w:t xml:space="preserve">Included in the following THA 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Group </w:t>
            </w:r>
            <w:r w:rsidRPr="0068727D">
              <w:rPr>
                <w:rFonts w:ascii="Arial" w:hAnsi="Arial" w:cs="Arial"/>
                <w:b/>
                <w:bCs/>
                <w:szCs w:val="24"/>
              </w:rPr>
              <w:t>Manual:</w:t>
            </w:r>
          </w:p>
        </w:tc>
        <w:tc>
          <w:tcPr>
            <w:tcW w:w="4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1F12" w:rsidRDefault="00D3793D">
            <w:pPr>
              <w:rPr>
                <w:rFonts w:ascii="Arial" w:hAnsi="Arial" w:cs="Arial"/>
                <w:szCs w:val="24"/>
              </w:rPr>
            </w:pPr>
            <w:r w:rsidRPr="0068727D">
              <w:rPr>
                <w:rFonts w:ascii="Arial" w:hAnsi="Arial" w:cs="Arial"/>
                <w:szCs w:val="24"/>
              </w:rPr>
              <w:t>Administrative Polic</w:t>
            </w:r>
            <w:r w:rsidR="00CA5833">
              <w:rPr>
                <w:rFonts w:ascii="Arial" w:hAnsi="Arial" w:cs="Arial"/>
                <w:szCs w:val="24"/>
              </w:rPr>
              <w:t>ies</w:t>
            </w:r>
            <w:r w:rsidRPr="0068727D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&amp;</w:t>
            </w:r>
            <w:r w:rsidRPr="0068727D">
              <w:rPr>
                <w:rFonts w:ascii="Arial" w:hAnsi="Arial" w:cs="Arial"/>
                <w:szCs w:val="24"/>
              </w:rPr>
              <w:t xml:space="preserve"> Procedure</w:t>
            </w:r>
            <w:r w:rsidR="00CA5833">
              <w:rPr>
                <w:rFonts w:ascii="Arial" w:hAnsi="Arial" w:cs="Arial"/>
                <w:szCs w:val="24"/>
              </w:rPr>
              <w:t>s</w:t>
            </w:r>
            <w:r w:rsidRPr="0068727D">
              <w:rPr>
                <w:rFonts w:ascii="Arial" w:hAnsi="Arial" w:cs="Arial"/>
                <w:szCs w:val="24"/>
              </w:rPr>
              <w:t xml:space="preserve"> </w:t>
            </w:r>
          </w:p>
          <w:p w:rsidR="00ED1F12" w:rsidRDefault="00D3793D">
            <w:pPr>
              <w:ind w:left="346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</w:t>
            </w:r>
            <w:r w:rsidRPr="0068727D">
              <w:rPr>
                <w:rFonts w:ascii="Arial" w:hAnsi="Arial" w:cs="Arial"/>
                <w:szCs w:val="24"/>
              </w:rPr>
              <w:t>rovision of Care, Treatment, &amp; Service</w:t>
            </w:r>
          </w:p>
        </w:tc>
      </w:tr>
    </w:tbl>
    <w:p w:rsidR="00ED1F12" w:rsidRDefault="00ED1F12">
      <w:pPr>
        <w:rPr>
          <w:rFonts w:ascii="Arial" w:hAnsi="Arial" w:cs="Arial"/>
          <w:b/>
          <w:szCs w:val="24"/>
          <w:u w:val="single"/>
        </w:rPr>
      </w:pPr>
    </w:p>
    <w:p w:rsidR="00ED1F12" w:rsidRDefault="003D70A9">
      <w:pPr>
        <w:pStyle w:val="Heading4"/>
        <w:ind w:righ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POLICY </w:t>
      </w:r>
    </w:p>
    <w:p w:rsidR="00ED1F12" w:rsidRDefault="00ED1F12">
      <w:pPr>
        <w:rPr>
          <w:rFonts w:ascii="Arial" w:hAnsi="Arial" w:cs="Arial"/>
          <w:szCs w:val="24"/>
        </w:rPr>
      </w:pPr>
    </w:p>
    <w:p w:rsidR="00ED1F12" w:rsidRDefault="003D70A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Discharge planning is </w:t>
      </w:r>
      <w:r w:rsidR="00922184">
        <w:rPr>
          <w:rFonts w:ascii="Arial" w:hAnsi="Arial" w:cs="Arial"/>
          <w:szCs w:val="24"/>
        </w:rPr>
        <w:t xml:space="preserve">initiated during </w:t>
      </w:r>
      <w:r w:rsidR="0083133F">
        <w:rPr>
          <w:rFonts w:ascii="Arial" w:hAnsi="Arial" w:cs="Arial"/>
          <w:szCs w:val="24"/>
        </w:rPr>
        <w:t>Interdisciplinary Team meeting (</w:t>
      </w:r>
      <w:r w:rsidR="00922184">
        <w:rPr>
          <w:rFonts w:ascii="Arial" w:hAnsi="Arial" w:cs="Arial"/>
          <w:szCs w:val="24"/>
        </w:rPr>
        <w:t>IDT</w:t>
      </w:r>
      <w:r w:rsidR="0083133F">
        <w:rPr>
          <w:rFonts w:ascii="Arial" w:hAnsi="Arial" w:cs="Arial"/>
          <w:szCs w:val="24"/>
        </w:rPr>
        <w:t>)</w:t>
      </w:r>
      <w:r>
        <w:rPr>
          <w:rFonts w:ascii="Arial" w:hAnsi="Arial" w:cs="Arial"/>
          <w:szCs w:val="24"/>
        </w:rPr>
        <w:t xml:space="preserve"> and involves the </w:t>
      </w:r>
      <w:r w:rsidR="00D3793D">
        <w:rPr>
          <w:rFonts w:ascii="Arial" w:hAnsi="Arial" w:cs="Arial"/>
          <w:szCs w:val="24"/>
        </w:rPr>
        <w:t>patient</w:t>
      </w:r>
      <w:r>
        <w:rPr>
          <w:rFonts w:ascii="Arial" w:hAnsi="Arial" w:cs="Arial"/>
          <w:szCs w:val="24"/>
        </w:rPr>
        <w:t xml:space="preserve"> and/or caregiver</w:t>
      </w:r>
      <w:r w:rsidR="00922184">
        <w:rPr>
          <w:rFonts w:ascii="Arial" w:hAnsi="Arial" w:cs="Arial"/>
          <w:szCs w:val="24"/>
        </w:rPr>
        <w:t xml:space="preserve"> at the next scheduled visit</w:t>
      </w:r>
      <w:r>
        <w:rPr>
          <w:rFonts w:ascii="Arial" w:hAnsi="Arial" w:cs="Arial"/>
          <w:szCs w:val="24"/>
        </w:rPr>
        <w:t xml:space="preserve">.  Services are discontinued </w:t>
      </w:r>
      <w:r w:rsidR="00922184">
        <w:rPr>
          <w:rFonts w:ascii="Arial" w:hAnsi="Arial" w:cs="Arial"/>
          <w:szCs w:val="24"/>
        </w:rPr>
        <w:t xml:space="preserve">at the request of the patient/CG </w:t>
      </w:r>
      <w:r>
        <w:rPr>
          <w:rFonts w:ascii="Arial" w:hAnsi="Arial" w:cs="Arial"/>
          <w:szCs w:val="24"/>
        </w:rPr>
        <w:t xml:space="preserve">or when the </w:t>
      </w:r>
      <w:r w:rsidR="00D3793D">
        <w:rPr>
          <w:rFonts w:ascii="Arial" w:hAnsi="Arial" w:cs="Arial"/>
          <w:szCs w:val="24"/>
        </w:rPr>
        <w:t>patient</w:t>
      </w:r>
      <w:r>
        <w:rPr>
          <w:rFonts w:ascii="Arial" w:hAnsi="Arial" w:cs="Arial"/>
          <w:szCs w:val="24"/>
        </w:rPr>
        <w:t xml:space="preserve"> no longer meets the criteria for services.</w:t>
      </w:r>
    </w:p>
    <w:p w:rsidR="00ED1F12" w:rsidRDefault="00ED1F12">
      <w:pPr>
        <w:jc w:val="both"/>
        <w:rPr>
          <w:rFonts w:ascii="Arial" w:hAnsi="Arial" w:cs="Arial"/>
          <w:szCs w:val="24"/>
        </w:rPr>
      </w:pPr>
    </w:p>
    <w:p w:rsidR="00ED1F12" w:rsidRDefault="003D70A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physician, patient and/or caregiver are notified prior to discontinuation of services. If additional or ongoing care is indicated, efforts are made to assist with patient transfer to the appropriate agency or facility</w:t>
      </w:r>
      <w:r w:rsidR="00922184">
        <w:rPr>
          <w:rFonts w:ascii="Arial" w:hAnsi="Arial" w:cs="Arial"/>
          <w:szCs w:val="24"/>
        </w:rPr>
        <w:t xml:space="preserve">, and/or </w:t>
      </w:r>
      <w:r w:rsidR="0083133F">
        <w:rPr>
          <w:rFonts w:ascii="Arial" w:hAnsi="Arial" w:cs="Arial"/>
          <w:szCs w:val="24"/>
        </w:rPr>
        <w:t xml:space="preserve">to their </w:t>
      </w:r>
      <w:r w:rsidR="00922184">
        <w:rPr>
          <w:rFonts w:ascii="Arial" w:hAnsi="Arial" w:cs="Arial"/>
          <w:szCs w:val="24"/>
        </w:rPr>
        <w:t>Primary Care Physician</w:t>
      </w:r>
    </w:p>
    <w:p w:rsidR="00ED1F12" w:rsidRDefault="00ED1F12">
      <w:pPr>
        <w:jc w:val="both"/>
        <w:rPr>
          <w:rFonts w:ascii="Arial" w:hAnsi="Arial" w:cs="Arial"/>
          <w:szCs w:val="24"/>
        </w:rPr>
      </w:pPr>
    </w:p>
    <w:p w:rsidR="00ED1F12" w:rsidRDefault="003D70A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 xml:space="preserve">PURPOSE </w:t>
      </w:r>
    </w:p>
    <w:p w:rsidR="00ED1F12" w:rsidRDefault="00ED1F12">
      <w:pPr>
        <w:jc w:val="both"/>
        <w:rPr>
          <w:rFonts w:ascii="Arial" w:hAnsi="Arial" w:cs="Arial"/>
          <w:szCs w:val="24"/>
        </w:rPr>
      </w:pPr>
    </w:p>
    <w:p w:rsidR="00ED1F12" w:rsidRDefault="003D70A9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outline the criteria for discharge</w:t>
      </w:r>
      <w:r w:rsidR="00244291">
        <w:rPr>
          <w:rFonts w:ascii="Arial" w:hAnsi="Arial" w:cs="Arial"/>
          <w:szCs w:val="24"/>
        </w:rPr>
        <w:t xml:space="preserve"> from</w:t>
      </w:r>
      <w:r w:rsidR="0044498B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hospice services.</w:t>
      </w:r>
    </w:p>
    <w:p w:rsidR="00ED1F12" w:rsidRDefault="003D70A9">
      <w:pPr>
        <w:numPr>
          <w:ilvl w:val="0"/>
          <w:numId w:val="4"/>
        </w:numPr>
        <w:rPr>
          <w:rFonts w:ascii="Arial" w:hAnsi="Arial" w:cs="Arial"/>
          <w:spacing w:val="-2"/>
          <w:szCs w:val="24"/>
        </w:rPr>
      </w:pPr>
      <w:r w:rsidRPr="003D70A9">
        <w:rPr>
          <w:rFonts w:ascii="Arial" w:hAnsi="Arial" w:cs="Arial"/>
          <w:spacing w:val="-2"/>
          <w:szCs w:val="24"/>
        </w:rPr>
        <w:t xml:space="preserve">To define appropriate action when the patient no longer meets Medicare </w:t>
      </w:r>
      <w:r w:rsidR="00244291">
        <w:rPr>
          <w:rFonts w:ascii="Arial" w:hAnsi="Arial" w:cs="Arial"/>
          <w:spacing w:val="-2"/>
          <w:szCs w:val="24"/>
        </w:rPr>
        <w:t>requir</w:t>
      </w:r>
      <w:r w:rsidR="0083133F">
        <w:rPr>
          <w:rFonts w:ascii="Arial" w:hAnsi="Arial" w:cs="Arial"/>
          <w:spacing w:val="-2"/>
          <w:szCs w:val="24"/>
        </w:rPr>
        <w:t>e</w:t>
      </w:r>
      <w:r w:rsidR="00244291">
        <w:rPr>
          <w:rFonts w:ascii="Arial" w:hAnsi="Arial" w:cs="Arial"/>
          <w:spacing w:val="-2"/>
          <w:szCs w:val="24"/>
        </w:rPr>
        <w:t>ment</w:t>
      </w:r>
      <w:r w:rsidR="0044498B">
        <w:rPr>
          <w:rFonts w:ascii="Arial" w:hAnsi="Arial" w:cs="Arial"/>
          <w:spacing w:val="-2"/>
          <w:szCs w:val="24"/>
        </w:rPr>
        <w:t>s</w:t>
      </w:r>
      <w:r w:rsidR="00244291">
        <w:rPr>
          <w:rFonts w:ascii="Arial" w:hAnsi="Arial" w:cs="Arial"/>
          <w:spacing w:val="-2"/>
          <w:szCs w:val="24"/>
        </w:rPr>
        <w:t xml:space="preserve"> as indicated</w:t>
      </w:r>
      <w:r w:rsidR="00922184">
        <w:rPr>
          <w:rFonts w:ascii="Arial" w:hAnsi="Arial" w:cs="Arial"/>
          <w:spacing w:val="-2"/>
          <w:szCs w:val="24"/>
        </w:rPr>
        <w:t xml:space="preserve"> by</w:t>
      </w:r>
      <w:r w:rsidR="00244291">
        <w:rPr>
          <w:rFonts w:ascii="Arial" w:hAnsi="Arial" w:cs="Arial"/>
          <w:spacing w:val="-2"/>
          <w:szCs w:val="24"/>
        </w:rPr>
        <w:t>:</w:t>
      </w:r>
      <w:r w:rsidR="00922184">
        <w:rPr>
          <w:rFonts w:ascii="Arial" w:hAnsi="Arial" w:cs="Arial"/>
          <w:spacing w:val="-2"/>
          <w:szCs w:val="24"/>
        </w:rPr>
        <w:t xml:space="preserve"> face to face encounter, SN assessment, </w:t>
      </w:r>
      <w:r w:rsidR="00244291">
        <w:rPr>
          <w:rFonts w:ascii="Arial" w:hAnsi="Arial" w:cs="Arial"/>
          <w:spacing w:val="-2"/>
          <w:szCs w:val="24"/>
        </w:rPr>
        <w:t>Certification of terminal illness by physician</w:t>
      </w:r>
      <w:r w:rsidRPr="003D70A9">
        <w:rPr>
          <w:rFonts w:ascii="Arial" w:hAnsi="Arial" w:cs="Arial"/>
          <w:spacing w:val="-2"/>
          <w:szCs w:val="24"/>
        </w:rPr>
        <w:t>, or chooses to discontinue (revoke) services.</w:t>
      </w:r>
    </w:p>
    <w:p w:rsidR="00ED1F12" w:rsidRDefault="003D70A9">
      <w:pPr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To describe appropriate action when the </w:t>
      </w:r>
      <w:r w:rsidR="00D3793D">
        <w:rPr>
          <w:rFonts w:ascii="Arial" w:hAnsi="Arial" w:cs="Arial"/>
          <w:szCs w:val="24"/>
        </w:rPr>
        <w:t>patient</w:t>
      </w:r>
      <w:r>
        <w:rPr>
          <w:rFonts w:ascii="Arial" w:hAnsi="Arial" w:cs="Arial"/>
          <w:szCs w:val="24"/>
        </w:rPr>
        <w:t xml:space="preserve"> refuses to seek alternative care or services at discharge.</w:t>
      </w:r>
    </w:p>
    <w:p w:rsidR="00ED1F12" w:rsidRDefault="003D70A9">
      <w:pPr>
        <w:numPr>
          <w:ilvl w:val="0"/>
          <w:numId w:val="4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list the required documentation to be included in the discharge summary.</w:t>
      </w:r>
    </w:p>
    <w:p w:rsidR="00ED1F12" w:rsidRDefault="003D70A9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</w:p>
    <w:p w:rsidR="00ED1F12" w:rsidRDefault="003D70A9">
      <w:pPr>
        <w:pStyle w:val="Heading1"/>
        <w:ind w:right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PROCEDURE</w:t>
      </w:r>
    </w:p>
    <w:p w:rsidR="00ED1F12" w:rsidRDefault="00ED1F12">
      <w:pPr>
        <w:rPr>
          <w:rFonts w:ascii="Arial" w:hAnsi="Arial" w:cs="Arial"/>
          <w:szCs w:val="24"/>
        </w:rPr>
      </w:pPr>
    </w:p>
    <w:p w:rsidR="00ED1F12" w:rsidRPr="00EE266F" w:rsidRDefault="003D70A9">
      <w:pPr>
        <w:pStyle w:val="Level1"/>
        <w:numPr>
          <w:ilvl w:val="0"/>
          <w:numId w:val="0"/>
        </w:numPr>
        <w:tabs>
          <w:tab w:val="left" w:pos="-2160"/>
        </w:tabs>
        <w:rPr>
          <w:rFonts w:ascii="Arial" w:hAnsi="Arial" w:cs="Arial"/>
          <w:b/>
          <w:szCs w:val="24"/>
        </w:rPr>
      </w:pPr>
      <w:r w:rsidRPr="00EE266F">
        <w:rPr>
          <w:rFonts w:ascii="Arial" w:hAnsi="Arial" w:cs="Arial"/>
          <w:b/>
          <w:szCs w:val="24"/>
        </w:rPr>
        <w:t>DISCHARGE CRITERIA</w:t>
      </w:r>
    </w:p>
    <w:p w:rsidR="00ED1F12" w:rsidRDefault="00ED1F12">
      <w:pPr>
        <w:pStyle w:val="Level1"/>
        <w:numPr>
          <w:ilvl w:val="0"/>
          <w:numId w:val="0"/>
        </w:numPr>
        <w:tabs>
          <w:tab w:val="left" w:pos="-2160"/>
        </w:tabs>
        <w:ind w:left="720" w:hanging="720"/>
        <w:rPr>
          <w:rFonts w:ascii="Arial" w:hAnsi="Arial" w:cs="Arial"/>
          <w:b/>
          <w:szCs w:val="24"/>
          <w:u w:val="single"/>
        </w:rPr>
      </w:pPr>
    </w:p>
    <w:p w:rsidR="00ED1F12" w:rsidRDefault="003D70A9">
      <w:pPr>
        <w:pStyle w:val="Level1"/>
        <w:numPr>
          <w:ilvl w:val="0"/>
          <w:numId w:val="25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beneficiary moves out of the area or transfers to another hospice.</w:t>
      </w:r>
    </w:p>
    <w:p w:rsidR="00ED1F12" w:rsidRDefault="003D70A9">
      <w:pPr>
        <w:pStyle w:val="Level1"/>
        <w:numPr>
          <w:ilvl w:val="0"/>
          <w:numId w:val="25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hospice determines that the beneficiary is no longer terminally ill.</w:t>
      </w:r>
    </w:p>
    <w:p w:rsidR="00EE266F" w:rsidRDefault="003D70A9">
      <w:pPr>
        <w:pStyle w:val="Level1"/>
        <w:numPr>
          <w:ilvl w:val="0"/>
          <w:numId w:val="25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hospice determines that the beneficiary meets the criteria regarding discharge “for cause”.</w:t>
      </w:r>
    </w:p>
    <w:p w:rsidR="00EE266F" w:rsidRDefault="00EE266F" w:rsidP="00EE266F">
      <w:pPr>
        <w:pStyle w:val="Level1"/>
        <w:numPr>
          <w:ilvl w:val="0"/>
          <w:numId w:val="0"/>
        </w:numPr>
        <w:tabs>
          <w:tab w:val="left" w:pos="-2160"/>
        </w:tabs>
        <w:ind w:left="720"/>
        <w:rPr>
          <w:rFonts w:ascii="Arial" w:hAnsi="Arial" w:cs="Arial"/>
          <w:szCs w:val="24"/>
        </w:rPr>
      </w:pPr>
    </w:p>
    <w:p w:rsidR="00ED1F12" w:rsidRDefault="003D70A9" w:rsidP="00EE266F">
      <w:pPr>
        <w:pStyle w:val="Level1"/>
        <w:numPr>
          <w:ilvl w:val="0"/>
          <w:numId w:val="0"/>
        </w:numPr>
        <w:tabs>
          <w:tab w:val="left" w:pos="-216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Discharge </w:t>
      </w:r>
      <w:r w:rsidR="00EE266F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 Cause:</w:t>
      </w:r>
    </w:p>
    <w:p w:rsidR="00ED1F12" w:rsidRDefault="003D70A9">
      <w:pPr>
        <w:pStyle w:val="Level1"/>
        <w:numPr>
          <w:ilvl w:val="0"/>
          <w:numId w:val="26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Discharge for cause of a hospice patient is based on documented safety issues.  There must be documentation in the patient’s record that every attempt has been made to resolve those issues without discharge. </w:t>
      </w:r>
    </w:p>
    <w:p w:rsidR="00ED1F12" w:rsidRDefault="003D70A9">
      <w:pPr>
        <w:pStyle w:val="Level1"/>
        <w:numPr>
          <w:ilvl w:val="0"/>
          <w:numId w:val="26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patient is advised that discharge for cause is being considered. The </w:t>
      </w:r>
      <w:r w:rsidR="00AC1CE7" w:rsidRPr="00AC1CE7">
        <w:rPr>
          <w:rFonts w:ascii="Arial" w:hAnsi="Arial" w:cs="Arial"/>
          <w:szCs w:val="24"/>
        </w:rPr>
        <w:t>Senior Management Team</w:t>
      </w:r>
      <w:r>
        <w:rPr>
          <w:rFonts w:ascii="Arial" w:hAnsi="Arial" w:cs="Arial"/>
          <w:szCs w:val="24"/>
        </w:rPr>
        <w:t xml:space="preserve"> approves all hospice discharges for cause prior to the patient/caregiver notice. </w:t>
      </w:r>
    </w:p>
    <w:p w:rsidR="00EE266F" w:rsidRDefault="00EE266F" w:rsidP="00EE266F">
      <w:pPr>
        <w:pStyle w:val="Level1"/>
        <w:numPr>
          <w:ilvl w:val="0"/>
          <w:numId w:val="0"/>
        </w:numPr>
        <w:tabs>
          <w:tab w:val="left" w:pos="-2160"/>
        </w:tabs>
        <w:ind w:left="1080"/>
        <w:rPr>
          <w:rFonts w:ascii="Arial" w:hAnsi="Arial" w:cs="Arial"/>
          <w:szCs w:val="24"/>
        </w:rPr>
      </w:pPr>
    </w:p>
    <w:p w:rsidR="00CA5833" w:rsidRDefault="00CA5833">
      <w:pPr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EE266F" w:rsidRDefault="003D70A9">
      <w:pPr>
        <w:pStyle w:val="Level1"/>
        <w:numPr>
          <w:ilvl w:val="0"/>
          <w:numId w:val="0"/>
        </w:numPr>
        <w:tabs>
          <w:tab w:val="left" w:pos="-2160"/>
        </w:tabs>
        <w:ind w:left="1440"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General Discharge: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Prior to discharging a patient</w:t>
      </w:r>
      <w:r w:rsidR="00EE266F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a written physician’s discharge order is obtained. Except in extreme circumstances, hospice patients are given at least 14 days notice of discharge.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Hospice patients are not discharged from hospice services during a period of hospital admission. If the patient enters a non-contractual facility, every attempt is made to establish a contract to continue to provide services to the hospice patient.  If a contract cannot be realized, the patient/family is informed of their options on continuation of care.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Hospice demonstrates through documentation that there is continued coordination of care through a discharge or transfer of a hospice patient</w:t>
      </w:r>
      <w:r w:rsidR="00244291">
        <w:rPr>
          <w:rFonts w:ascii="Arial" w:hAnsi="Arial" w:cs="Arial"/>
          <w:szCs w:val="24"/>
        </w:rPr>
        <w:t xml:space="preserve"> to include specifically POC and Medication reconciliation</w:t>
      </w:r>
      <w:r>
        <w:rPr>
          <w:rFonts w:ascii="Arial" w:hAnsi="Arial" w:cs="Arial"/>
          <w:szCs w:val="24"/>
        </w:rPr>
        <w:t>.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discharge summary is completed on Island Hospice patients and a copy is available for the physician. The summary includes the following: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 of discharge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Physician’s notification of discharge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Reason for discharge</w:t>
      </w:r>
    </w:p>
    <w:p w:rsidR="00ED1F12" w:rsidRDefault="003D70A9">
      <w:pPr>
        <w:pStyle w:val="Level1"/>
        <w:numPr>
          <w:ilvl w:val="0"/>
          <w:numId w:val="24"/>
        </w:numPr>
        <w:tabs>
          <w:tab w:val="left" w:pos="-216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Summary of services provided to the patient</w:t>
      </w:r>
    </w:p>
    <w:p w:rsidR="00EE266F" w:rsidRDefault="00EE266F">
      <w:pPr>
        <w:widowControl/>
        <w:rPr>
          <w:rFonts w:ascii="Arial" w:hAnsi="Arial" w:cs="Arial"/>
          <w:b/>
          <w:szCs w:val="24"/>
          <w:u w:val="single"/>
        </w:rPr>
      </w:pPr>
    </w:p>
    <w:p w:rsidR="00ED1F12" w:rsidRPr="00EE266F" w:rsidRDefault="003D70A9">
      <w:pPr>
        <w:widowControl/>
        <w:rPr>
          <w:rFonts w:ascii="Arial" w:hAnsi="Arial" w:cs="Arial"/>
          <w:b/>
          <w:szCs w:val="24"/>
        </w:rPr>
      </w:pPr>
      <w:r w:rsidRPr="00EE266F">
        <w:rPr>
          <w:rFonts w:ascii="Arial" w:hAnsi="Arial" w:cs="Arial"/>
          <w:b/>
          <w:szCs w:val="24"/>
        </w:rPr>
        <w:t>HOSPICE REVOCATION</w:t>
      </w:r>
    </w:p>
    <w:p w:rsidR="00ED1F12" w:rsidRDefault="00ED1F12">
      <w:pPr>
        <w:pStyle w:val="ListParagraph"/>
        <w:widowControl/>
        <w:ind w:left="1440"/>
        <w:rPr>
          <w:rFonts w:ascii="Arial" w:hAnsi="Arial" w:cs="Arial"/>
          <w:szCs w:val="24"/>
        </w:rPr>
      </w:pPr>
    </w:p>
    <w:p w:rsidR="00ED1F12" w:rsidRDefault="003D70A9">
      <w:pPr>
        <w:pStyle w:val="ListParagraph"/>
        <w:widowControl/>
        <w:numPr>
          <w:ilvl w:val="0"/>
          <w:numId w:val="30"/>
        </w:num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individual or representative may revoke the election of hospice benefits at any time.</w:t>
      </w:r>
    </w:p>
    <w:p w:rsidR="00ED1F12" w:rsidRDefault="003D70A9">
      <w:pPr>
        <w:pStyle w:val="ListParagraph"/>
        <w:widowControl/>
        <w:numPr>
          <w:ilvl w:val="0"/>
          <w:numId w:val="30"/>
        </w:numPr>
        <w:ind w:left="720"/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 xml:space="preserve">To revoke the election of hospice care, the individual or representative must file a statement with the hospice that includes the following </w:t>
      </w:r>
      <w:r w:rsidRPr="00BD7668">
        <w:rPr>
          <w:rFonts w:ascii="Arial" w:hAnsi="Arial" w:cs="Arial"/>
          <w:szCs w:val="24"/>
        </w:rPr>
        <w:t>(</w:t>
      </w:r>
      <w:r w:rsidR="00BD7668">
        <w:rPr>
          <w:rFonts w:ascii="Arial" w:hAnsi="Arial" w:cs="Arial"/>
          <w:szCs w:val="24"/>
        </w:rPr>
        <w:t>s</w:t>
      </w:r>
      <w:r w:rsidRPr="00BD7668">
        <w:rPr>
          <w:rFonts w:ascii="Arial" w:hAnsi="Arial" w:cs="Arial"/>
          <w:szCs w:val="24"/>
        </w:rPr>
        <w:t xml:space="preserve">ee </w:t>
      </w:r>
      <w:hyperlink r:id="rId8" w:history="1">
        <w:r w:rsidRPr="00BD7668">
          <w:rPr>
            <w:rStyle w:val="Hyperlink"/>
            <w:rFonts w:ascii="Arial" w:hAnsi="Arial" w:cs="Arial"/>
            <w:szCs w:val="24"/>
          </w:rPr>
          <w:t>Medicare Hospice Benefit Revocation form</w:t>
        </w:r>
      </w:hyperlink>
      <w:r w:rsidRPr="00BD7668">
        <w:rPr>
          <w:rFonts w:ascii="Arial" w:hAnsi="Arial" w:cs="Arial"/>
          <w:szCs w:val="24"/>
        </w:rPr>
        <w:t>):</w:t>
      </w:r>
    </w:p>
    <w:p w:rsidR="00ED1F12" w:rsidRDefault="003D70A9" w:rsidP="00EE266F">
      <w:pPr>
        <w:pStyle w:val="ListParagraph"/>
        <w:widowControl/>
        <w:numPr>
          <w:ilvl w:val="2"/>
          <w:numId w:val="30"/>
        </w:numPr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A signed statement that the individual or representative revokes the election for Medicare coverage of hospice care for the remainder of the election period</w:t>
      </w:r>
    </w:p>
    <w:p w:rsidR="00ED1F12" w:rsidRDefault="003D70A9" w:rsidP="00EE266F">
      <w:pPr>
        <w:pStyle w:val="ListParagraph"/>
        <w:numPr>
          <w:ilvl w:val="2"/>
          <w:numId w:val="30"/>
        </w:numPr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 xml:space="preserve">The date the revocation is to be effective. This may not be earlier than the date of revocation notice. </w:t>
      </w:r>
    </w:p>
    <w:p w:rsidR="00ED1F12" w:rsidRDefault="003D70A9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On revoking the election of Medicare hospice benefits for a particular election period:</w:t>
      </w:r>
    </w:p>
    <w:p w:rsidR="00ED1F12" w:rsidRDefault="003D70A9" w:rsidP="00EE266F">
      <w:pPr>
        <w:pStyle w:val="ListParagraph"/>
        <w:widowControl/>
        <w:numPr>
          <w:ilvl w:val="2"/>
          <w:numId w:val="30"/>
        </w:numPr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The individual is no longer covered under Medicare for hospice care;</w:t>
      </w:r>
    </w:p>
    <w:p w:rsidR="00ED1F12" w:rsidRDefault="003D70A9" w:rsidP="00EE266F">
      <w:pPr>
        <w:pStyle w:val="ListParagraph"/>
        <w:widowControl/>
        <w:numPr>
          <w:ilvl w:val="2"/>
          <w:numId w:val="30"/>
        </w:numPr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She/he resumes pre-hospice election Medicare coverage of benefits;</w:t>
      </w:r>
    </w:p>
    <w:p w:rsidR="00ED1F12" w:rsidRDefault="003D70A9" w:rsidP="00EE266F">
      <w:pPr>
        <w:pStyle w:val="ListParagraph"/>
        <w:widowControl/>
        <w:numPr>
          <w:ilvl w:val="2"/>
          <w:numId w:val="30"/>
        </w:numPr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May at any future time elect to receive hospice coverage for any other hospice election   periods that he/she is eligible to receive.</w:t>
      </w:r>
    </w:p>
    <w:p w:rsidR="00ED1F12" w:rsidRDefault="003D70A9">
      <w:pPr>
        <w:pStyle w:val="ListParagraph"/>
        <w:numPr>
          <w:ilvl w:val="0"/>
          <w:numId w:val="30"/>
        </w:numPr>
        <w:ind w:left="720"/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On revocation of the election of Medicare hospice benefits, THA Group clinical staff will:</w:t>
      </w:r>
    </w:p>
    <w:p w:rsidR="00ED1F12" w:rsidRDefault="003D70A9" w:rsidP="00EE266F">
      <w:pPr>
        <w:pStyle w:val="ListParagraph"/>
        <w:widowControl/>
        <w:numPr>
          <w:ilvl w:val="2"/>
          <w:numId w:val="30"/>
        </w:numPr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Notify the patient’s attending physician of the revocation decision and the effective date;</w:t>
      </w:r>
    </w:p>
    <w:p w:rsidR="00ED1F12" w:rsidRDefault="003D70A9" w:rsidP="00EE266F">
      <w:pPr>
        <w:pStyle w:val="ListParagraph"/>
        <w:widowControl/>
        <w:numPr>
          <w:ilvl w:val="2"/>
          <w:numId w:val="30"/>
        </w:numPr>
        <w:rPr>
          <w:rFonts w:ascii="Arial" w:hAnsi="Arial" w:cs="Arial"/>
          <w:szCs w:val="24"/>
        </w:rPr>
      </w:pPr>
      <w:r w:rsidRPr="003D70A9">
        <w:rPr>
          <w:rFonts w:ascii="Arial" w:hAnsi="Arial" w:cs="Arial"/>
          <w:szCs w:val="24"/>
        </w:rPr>
        <w:t>Complete a discharge in the electronic health record, including a discharge summary noting the reason for revocation and needed follow up care or services. The discharge summary will be made available to the physician upon request.</w:t>
      </w:r>
    </w:p>
    <w:p w:rsidR="00ED1F12" w:rsidRDefault="00ED1F12">
      <w:pPr>
        <w:rPr>
          <w:rFonts w:ascii="Arial" w:hAnsi="Arial" w:cs="Arial"/>
          <w:b/>
          <w:szCs w:val="24"/>
        </w:rPr>
      </w:pPr>
    </w:p>
    <w:p w:rsidR="00EE266F" w:rsidRDefault="00EE266F" w:rsidP="00EE266F">
      <w:pPr>
        <w:rPr>
          <w:rFonts w:ascii="Arial" w:hAnsi="Arial" w:cs="Arial"/>
          <w:b/>
          <w:szCs w:val="24"/>
        </w:rPr>
      </w:pPr>
      <w:r w:rsidRPr="003D70A9">
        <w:rPr>
          <w:rFonts w:ascii="Arial" w:hAnsi="Arial" w:cs="Arial"/>
          <w:b/>
          <w:szCs w:val="24"/>
        </w:rPr>
        <w:t>FORMS</w:t>
      </w:r>
    </w:p>
    <w:p w:rsidR="00EE266F" w:rsidRDefault="00EE266F" w:rsidP="00EE266F">
      <w:pPr>
        <w:rPr>
          <w:rFonts w:ascii="Arial" w:hAnsi="Arial" w:cs="Arial"/>
          <w:i/>
          <w:szCs w:val="24"/>
        </w:rPr>
      </w:pPr>
      <w:r w:rsidRPr="003D70A9">
        <w:rPr>
          <w:rFonts w:ascii="Arial" w:hAnsi="Arial" w:cs="Arial"/>
          <w:szCs w:val="24"/>
        </w:rPr>
        <w:t>Notice of Medicare Non-Coverage</w:t>
      </w:r>
      <w:r>
        <w:rPr>
          <w:rFonts w:ascii="Arial" w:hAnsi="Arial" w:cs="Arial"/>
          <w:szCs w:val="24"/>
        </w:rPr>
        <w:t>, and Medicare Hospice Benefit Revocation</w:t>
      </w:r>
      <w:r w:rsidRPr="003D70A9">
        <w:rPr>
          <w:rFonts w:ascii="Arial" w:hAnsi="Arial" w:cs="Arial"/>
          <w:szCs w:val="24"/>
        </w:rPr>
        <w:t xml:space="preserve"> forms referenced in this policy are found </w:t>
      </w:r>
      <w:r>
        <w:rPr>
          <w:rFonts w:ascii="Arial" w:hAnsi="Arial" w:cs="Arial"/>
          <w:szCs w:val="24"/>
        </w:rPr>
        <w:t>in</w:t>
      </w:r>
      <w:r w:rsidRPr="003D70A9">
        <w:rPr>
          <w:rFonts w:ascii="Arial" w:hAnsi="Arial" w:cs="Arial"/>
          <w:szCs w:val="24"/>
        </w:rPr>
        <w:t xml:space="preserve"> the </w:t>
      </w:r>
      <w:hyperlink r:id="rId9" w:history="1">
        <w:r w:rsidR="00CF3F1C">
          <w:rPr>
            <w:rStyle w:val="Hyperlink"/>
            <w:rFonts w:ascii="Arial" w:hAnsi="Arial" w:cs="Arial"/>
            <w:szCs w:val="24"/>
          </w:rPr>
          <w:t>\\THA-FS1\IslandHealth\2006\Approved Forms\Patient Notifications</w:t>
        </w:r>
      </w:hyperlink>
      <w:r w:rsidR="00962347">
        <w:rPr>
          <w:rFonts w:ascii="Arial" w:hAnsi="Arial" w:cs="Arial"/>
          <w:szCs w:val="24"/>
        </w:rPr>
        <w:t xml:space="preserve"> folder</w:t>
      </w:r>
      <w:r>
        <w:rPr>
          <w:rFonts w:ascii="Arial" w:hAnsi="Arial" w:cs="Arial"/>
          <w:szCs w:val="24"/>
        </w:rPr>
        <w:t>.</w:t>
      </w:r>
    </w:p>
    <w:p w:rsidR="00EE266F" w:rsidRDefault="00EE266F" w:rsidP="00EE266F">
      <w:pPr>
        <w:rPr>
          <w:rFonts w:ascii="Arial" w:hAnsi="Arial" w:cs="Arial"/>
          <w:szCs w:val="24"/>
        </w:rPr>
      </w:pPr>
    </w:p>
    <w:p w:rsidR="00EE266F" w:rsidRDefault="00EE266F" w:rsidP="00EE266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Refer to</w:t>
      </w:r>
      <w:r w:rsidRPr="003D70A9">
        <w:rPr>
          <w:rFonts w:ascii="Arial" w:hAnsi="Arial" w:cs="Arial"/>
          <w:szCs w:val="24"/>
        </w:rPr>
        <w:t xml:space="preserve"> the </w:t>
      </w:r>
      <w:r w:rsidR="00962347" w:rsidRPr="00962347">
        <w:rPr>
          <w:rFonts w:ascii="Arial" w:hAnsi="Arial" w:cs="Arial"/>
          <w:b/>
          <w:szCs w:val="24"/>
        </w:rPr>
        <w:t>Patient Notifications (NOMNC) Policy</w:t>
      </w:r>
      <w:r w:rsidRPr="003D70A9">
        <w:rPr>
          <w:rFonts w:ascii="Arial" w:hAnsi="Arial" w:cs="Arial"/>
          <w:szCs w:val="24"/>
        </w:rPr>
        <w:t xml:space="preserve"> for more information on the Notice of Medicare </w:t>
      </w:r>
      <w:r>
        <w:rPr>
          <w:rFonts w:ascii="Arial" w:hAnsi="Arial" w:cs="Arial"/>
          <w:szCs w:val="24"/>
        </w:rPr>
        <w:t>N</w:t>
      </w:r>
      <w:r w:rsidRPr="003D70A9">
        <w:rPr>
          <w:rFonts w:ascii="Arial" w:hAnsi="Arial" w:cs="Arial"/>
          <w:szCs w:val="24"/>
        </w:rPr>
        <w:t>on-Coverage.</w:t>
      </w:r>
    </w:p>
    <w:p w:rsidR="00EE266F" w:rsidRPr="00D3793D" w:rsidRDefault="00EE266F" w:rsidP="00EE266F">
      <w:pPr>
        <w:pStyle w:val="Level1"/>
        <w:numPr>
          <w:ilvl w:val="0"/>
          <w:numId w:val="0"/>
        </w:numPr>
        <w:tabs>
          <w:tab w:val="left" w:pos="-2160"/>
        </w:tabs>
        <w:ind w:left="1080" w:hanging="720"/>
        <w:rPr>
          <w:rFonts w:ascii="Arial" w:hAnsi="Arial" w:cs="Arial"/>
          <w:szCs w:val="24"/>
        </w:rPr>
      </w:pPr>
    </w:p>
    <w:p w:rsidR="00154735" w:rsidRDefault="00154735" w:rsidP="00EE266F">
      <w:pPr>
        <w:widowControl/>
        <w:ind w:left="720"/>
        <w:rPr>
          <w:rFonts w:ascii="Arial" w:hAnsi="Arial" w:cs="Arial"/>
          <w:sz w:val="20"/>
        </w:rPr>
      </w:pPr>
    </w:p>
    <w:sectPr w:rsidR="00154735" w:rsidSect="00D3793D">
      <w:footerReference w:type="even" r:id="rId10"/>
      <w:footerReference w:type="default" r:id="rId11"/>
      <w:endnotePr>
        <w:numFmt w:val="decimal"/>
      </w:endnotePr>
      <w:pgSz w:w="12240" w:h="15840" w:code="1"/>
      <w:pgMar w:top="720" w:right="720" w:bottom="720" w:left="720" w:header="432" w:footer="432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F3" w:rsidRDefault="008807F3">
      <w:r>
        <w:separator/>
      </w:r>
    </w:p>
  </w:endnote>
  <w:endnote w:type="continuationSeparator" w:id="0">
    <w:p w:rsidR="008807F3" w:rsidRDefault="008807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33" w:rsidRDefault="007E19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A58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5833" w:rsidRDefault="00CA58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33" w:rsidRDefault="009259E7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0"/>
      </w:rPr>
    </w:pPr>
    <w:r>
      <w:rPr>
        <w:rFonts w:ascii="Arial" w:hAnsi="Arial" w:cs="Arial"/>
        <w:sz w:val="16"/>
      </w:rPr>
      <w:t>G:\Policies and Procedures\Administrative Policy and Procedure Manual\Provision of Care, Treatment, and Service\Discharge (Hospice).doc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F3" w:rsidRDefault="008807F3">
      <w:r>
        <w:separator/>
      </w:r>
    </w:p>
  </w:footnote>
  <w:footnote w:type="continuationSeparator" w:id="0">
    <w:p w:rsidR="008807F3" w:rsidRDefault="008807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Book Antiqua" w:hAnsi="Book Antiqua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402"/>
    <w:multiLevelType w:val="multilevel"/>
    <w:tmpl w:val="00000885"/>
    <w:lvl w:ilvl="0">
      <w:numFmt w:val="bullet"/>
      <w:lvlText w:val=""/>
      <w:lvlJc w:val="left"/>
      <w:pPr>
        <w:ind w:left="1020" w:hanging="360"/>
      </w:pPr>
      <w:rPr>
        <w:rFonts w:ascii="Symbol" w:hAnsi="Symbol" w:cs="Symbol"/>
        <w:b w:val="0"/>
        <w:bCs w:val="0"/>
        <w:w w:val="76"/>
        <w:sz w:val="24"/>
        <w:szCs w:val="24"/>
      </w:rPr>
    </w:lvl>
    <w:lvl w:ilvl="1">
      <w:numFmt w:val="bullet"/>
      <w:lvlText w:val="•"/>
      <w:lvlJc w:val="left"/>
      <w:pPr>
        <w:ind w:left="2004" w:hanging="360"/>
      </w:pPr>
    </w:lvl>
    <w:lvl w:ilvl="2">
      <w:numFmt w:val="bullet"/>
      <w:lvlText w:val="•"/>
      <w:lvlJc w:val="left"/>
      <w:pPr>
        <w:ind w:left="2988" w:hanging="360"/>
      </w:pPr>
    </w:lvl>
    <w:lvl w:ilvl="3">
      <w:numFmt w:val="bullet"/>
      <w:lvlText w:val="•"/>
      <w:lvlJc w:val="left"/>
      <w:pPr>
        <w:ind w:left="3972" w:hanging="360"/>
      </w:pPr>
    </w:lvl>
    <w:lvl w:ilvl="4">
      <w:numFmt w:val="bullet"/>
      <w:lvlText w:val="•"/>
      <w:lvlJc w:val="left"/>
      <w:pPr>
        <w:ind w:left="4956" w:hanging="360"/>
      </w:pPr>
    </w:lvl>
    <w:lvl w:ilvl="5">
      <w:numFmt w:val="bullet"/>
      <w:lvlText w:val="•"/>
      <w:lvlJc w:val="left"/>
      <w:pPr>
        <w:ind w:left="5940" w:hanging="360"/>
      </w:pPr>
    </w:lvl>
    <w:lvl w:ilvl="6">
      <w:numFmt w:val="bullet"/>
      <w:lvlText w:val="•"/>
      <w:lvlJc w:val="left"/>
      <w:pPr>
        <w:ind w:left="6924" w:hanging="360"/>
      </w:pPr>
    </w:lvl>
    <w:lvl w:ilvl="7">
      <w:numFmt w:val="bullet"/>
      <w:lvlText w:val="•"/>
      <w:lvlJc w:val="left"/>
      <w:pPr>
        <w:ind w:left="7908" w:hanging="360"/>
      </w:pPr>
    </w:lvl>
    <w:lvl w:ilvl="8">
      <w:numFmt w:val="bullet"/>
      <w:lvlText w:val="•"/>
      <w:lvlJc w:val="left"/>
      <w:pPr>
        <w:ind w:left="8892" w:hanging="360"/>
      </w:pPr>
    </w:lvl>
  </w:abstractNum>
  <w:abstractNum w:abstractNumId="4">
    <w:nsid w:val="00000403"/>
    <w:multiLevelType w:val="multilevel"/>
    <w:tmpl w:val="00000886"/>
    <w:lvl w:ilvl="0">
      <w:start w:val="8"/>
      <w:numFmt w:val="upperLetter"/>
      <w:lvlText w:val="%1."/>
      <w:lvlJc w:val="left"/>
      <w:pPr>
        <w:ind w:left="564" w:hanging="307"/>
      </w:pPr>
      <w:rPr>
        <w:rFonts w:ascii="Arial" w:hAnsi="Arial" w:cs="Arial"/>
        <w:b/>
        <w:bCs/>
        <w:spacing w:val="-1"/>
        <w:sz w:val="24"/>
        <w:szCs w:val="24"/>
      </w:rPr>
    </w:lvl>
    <w:lvl w:ilvl="1">
      <w:numFmt w:val="bullet"/>
      <w:lvlText w:val="•"/>
      <w:lvlJc w:val="left"/>
      <w:pPr>
        <w:ind w:left="1593" w:hanging="307"/>
      </w:pPr>
    </w:lvl>
    <w:lvl w:ilvl="2">
      <w:numFmt w:val="bullet"/>
      <w:lvlText w:val="•"/>
      <w:lvlJc w:val="left"/>
      <w:pPr>
        <w:ind w:left="2623" w:hanging="307"/>
      </w:pPr>
    </w:lvl>
    <w:lvl w:ilvl="3">
      <w:numFmt w:val="bullet"/>
      <w:lvlText w:val="•"/>
      <w:lvlJc w:val="left"/>
      <w:pPr>
        <w:ind w:left="3652" w:hanging="307"/>
      </w:pPr>
    </w:lvl>
    <w:lvl w:ilvl="4">
      <w:numFmt w:val="bullet"/>
      <w:lvlText w:val="•"/>
      <w:lvlJc w:val="left"/>
      <w:pPr>
        <w:ind w:left="4682" w:hanging="307"/>
      </w:pPr>
    </w:lvl>
    <w:lvl w:ilvl="5">
      <w:numFmt w:val="bullet"/>
      <w:lvlText w:val="•"/>
      <w:lvlJc w:val="left"/>
      <w:pPr>
        <w:ind w:left="5712" w:hanging="307"/>
      </w:pPr>
    </w:lvl>
    <w:lvl w:ilvl="6">
      <w:numFmt w:val="bullet"/>
      <w:lvlText w:val="•"/>
      <w:lvlJc w:val="left"/>
      <w:pPr>
        <w:ind w:left="6741" w:hanging="307"/>
      </w:pPr>
    </w:lvl>
    <w:lvl w:ilvl="7">
      <w:numFmt w:val="bullet"/>
      <w:lvlText w:val="•"/>
      <w:lvlJc w:val="left"/>
      <w:pPr>
        <w:ind w:left="7771" w:hanging="307"/>
      </w:pPr>
    </w:lvl>
    <w:lvl w:ilvl="8">
      <w:numFmt w:val="bullet"/>
      <w:lvlText w:val="•"/>
      <w:lvlJc w:val="left"/>
      <w:pPr>
        <w:ind w:left="8800" w:hanging="307"/>
      </w:pPr>
    </w:lvl>
  </w:abstractNum>
  <w:abstractNum w:abstractNumId="5">
    <w:nsid w:val="02454F2F"/>
    <w:multiLevelType w:val="hybridMultilevel"/>
    <w:tmpl w:val="5F8ACD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1A6225"/>
    <w:multiLevelType w:val="hybridMultilevel"/>
    <w:tmpl w:val="B1CA256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6A3EA0"/>
    <w:multiLevelType w:val="hybridMultilevel"/>
    <w:tmpl w:val="8E304F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B27DB0"/>
    <w:multiLevelType w:val="hybridMultilevel"/>
    <w:tmpl w:val="CD364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A3C9F"/>
    <w:multiLevelType w:val="hybridMultilevel"/>
    <w:tmpl w:val="AEC2CE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D5777"/>
    <w:multiLevelType w:val="hybridMultilevel"/>
    <w:tmpl w:val="1AF48BB0"/>
    <w:lvl w:ilvl="0" w:tplc="7DCC57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95C08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C73255A"/>
    <w:multiLevelType w:val="hybridMultilevel"/>
    <w:tmpl w:val="EC6EF23C"/>
    <w:lvl w:ilvl="0" w:tplc="7DCC575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10F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C2201E"/>
    <w:multiLevelType w:val="hybridMultilevel"/>
    <w:tmpl w:val="FA181F44"/>
    <w:lvl w:ilvl="0" w:tplc="FC18DA9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2CF0C77"/>
    <w:multiLevelType w:val="hybridMultilevel"/>
    <w:tmpl w:val="D9760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8656CA4"/>
    <w:multiLevelType w:val="hybridMultilevel"/>
    <w:tmpl w:val="C55C0256"/>
    <w:lvl w:ilvl="0" w:tplc="1BEA53E8">
      <w:numFmt w:val="bullet"/>
      <w:pStyle w:val="Bullet4"/>
      <w:lvlText w:val="•"/>
      <w:lvlJc w:val="left"/>
      <w:pPr>
        <w:ind w:left="8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289C2B73"/>
    <w:multiLevelType w:val="hybridMultilevel"/>
    <w:tmpl w:val="47643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768496B"/>
    <w:multiLevelType w:val="hybridMultilevel"/>
    <w:tmpl w:val="80A01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0F10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A2F4DF7"/>
    <w:multiLevelType w:val="hybridMultilevel"/>
    <w:tmpl w:val="A7FE506A"/>
    <w:lvl w:ilvl="0" w:tplc="3F6CA510">
      <w:start w:val="1"/>
      <w:numFmt w:val="bullet"/>
      <w:lvlText w:val="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FA09FA"/>
    <w:multiLevelType w:val="hybridMultilevel"/>
    <w:tmpl w:val="F9CCA1FE"/>
    <w:lvl w:ilvl="0" w:tplc="493AC5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3F6CA51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C246C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3252716"/>
    <w:multiLevelType w:val="multilevel"/>
    <w:tmpl w:val="FA4257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A11420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54674869"/>
    <w:multiLevelType w:val="hybridMultilevel"/>
    <w:tmpl w:val="38D839BA"/>
    <w:lvl w:ilvl="0" w:tplc="493AC53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B55F52"/>
    <w:multiLevelType w:val="hybridMultilevel"/>
    <w:tmpl w:val="94309EC0"/>
    <w:lvl w:ilvl="0" w:tplc="9400323E">
      <w:start w:val="1"/>
      <w:numFmt w:val="bullet"/>
      <w:pStyle w:val="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CD5D78"/>
    <w:multiLevelType w:val="hybridMultilevel"/>
    <w:tmpl w:val="27F0AA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B4E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571BC3"/>
    <w:multiLevelType w:val="hybridMultilevel"/>
    <w:tmpl w:val="40C8C350"/>
    <w:lvl w:ilvl="0" w:tplc="8F0AD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AD3050"/>
    <w:multiLevelType w:val="hybridMultilevel"/>
    <w:tmpl w:val="533CB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69374FC"/>
    <w:multiLevelType w:val="hybridMultilevel"/>
    <w:tmpl w:val="9BE068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8B4EF2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B73CDE"/>
    <w:multiLevelType w:val="hybridMultilevel"/>
    <w:tmpl w:val="8E68C7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825DF"/>
    <w:multiLevelType w:val="hybridMultilevel"/>
    <w:tmpl w:val="F7AE6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10F10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E2435C"/>
    <w:multiLevelType w:val="hybridMultilevel"/>
    <w:tmpl w:val="316A19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1"/>
  </w:num>
  <w:num w:numId="3">
    <w:abstractNumId w:val="21"/>
  </w:num>
  <w:num w:numId="4">
    <w:abstractNumId w:val="23"/>
  </w:num>
  <w:num w:numId="5">
    <w:abstractNumId w:val="0"/>
    <w:lvlOverride w:ilvl="0">
      <w:lvl w:ilvl="0"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Book Antiqua" w:hAnsi="Book Antiqua" w:hint="default"/>
        </w:rPr>
      </w:lvl>
    </w:lvlOverride>
  </w:num>
  <w:num w:numId="6">
    <w:abstractNumId w:val="5"/>
  </w:num>
  <w:num w:numId="7">
    <w:abstractNumId w:val="31"/>
  </w:num>
  <w:num w:numId="8">
    <w:abstractNumId w:val="13"/>
  </w:num>
  <w:num w:numId="9">
    <w:abstractNumId w:val="26"/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30"/>
  </w:num>
  <w:num w:numId="13">
    <w:abstractNumId w:val="27"/>
  </w:num>
  <w:num w:numId="14">
    <w:abstractNumId w:val="12"/>
  </w:num>
  <w:num w:numId="15">
    <w:abstractNumId w:val="29"/>
  </w:num>
  <w:num w:numId="16">
    <w:abstractNumId w:val="25"/>
  </w:num>
  <w:num w:numId="17">
    <w:abstractNumId w:val="32"/>
  </w:num>
  <w:num w:numId="18">
    <w:abstractNumId w:val="15"/>
  </w:num>
  <w:num w:numId="19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7"/>
  </w:num>
  <w:num w:numId="22">
    <w:abstractNumId w:val="16"/>
  </w:num>
  <w:num w:numId="23">
    <w:abstractNumId w:val="28"/>
  </w:num>
  <w:num w:numId="24">
    <w:abstractNumId w:val="6"/>
  </w:num>
  <w:num w:numId="25">
    <w:abstractNumId w:val="9"/>
  </w:num>
  <w:num w:numId="26">
    <w:abstractNumId w:val="7"/>
  </w:num>
  <w:num w:numId="27">
    <w:abstractNumId w:val="4"/>
  </w:num>
  <w:num w:numId="28">
    <w:abstractNumId w:val="3"/>
  </w:num>
  <w:num w:numId="29">
    <w:abstractNumId w:val="8"/>
  </w:num>
  <w:num w:numId="30">
    <w:abstractNumId w:val="22"/>
  </w:num>
  <w:num w:numId="31">
    <w:abstractNumId w:val="24"/>
  </w:num>
  <w:num w:numId="32">
    <w:abstractNumId w:val="20"/>
  </w:num>
  <w:num w:numId="33">
    <w:abstractNumId w:val="1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662C1"/>
    <w:rsid w:val="000052C7"/>
    <w:rsid w:val="00010F99"/>
    <w:rsid w:val="000163F9"/>
    <w:rsid w:val="00024E52"/>
    <w:rsid w:val="00042F75"/>
    <w:rsid w:val="000577BA"/>
    <w:rsid w:val="000658E8"/>
    <w:rsid w:val="0006730B"/>
    <w:rsid w:val="0007603C"/>
    <w:rsid w:val="00091BF5"/>
    <w:rsid w:val="000A2068"/>
    <w:rsid w:val="000F450B"/>
    <w:rsid w:val="00147C7E"/>
    <w:rsid w:val="00154735"/>
    <w:rsid w:val="00155B80"/>
    <w:rsid w:val="00173438"/>
    <w:rsid w:val="00175BC1"/>
    <w:rsid w:val="00180991"/>
    <w:rsid w:val="001A242D"/>
    <w:rsid w:val="001A6BDF"/>
    <w:rsid w:val="001B69DD"/>
    <w:rsid w:val="001C3410"/>
    <w:rsid w:val="001C694D"/>
    <w:rsid w:val="001D10F8"/>
    <w:rsid w:val="0020603C"/>
    <w:rsid w:val="00222341"/>
    <w:rsid w:val="00244291"/>
    <w:rsid w:val="00246D99"/>
    <w:rsid w:val="002656DC"/>
    <w:rsid w:val="002823AA"/>
    <w:rsid w:val="002936D0"/>
    <w:rsid w:val="0029771C"/>
    <w:rsid w:val="002A6D64"/>
    <w:rsid w:val="002B67AC"/>
    <w:rsid w:val="002C2EBA"/>
    <w:rsid w:val="002D401B"/>
    <w:rsid w:val="002E1961"/>
    <w:rsid w:val="002F4491"/>
    <w:rsid w:val="002F76DA"/>
    <w:rsid w:val="003038CD"/>
    <w:rsid w:val="00316E9F"/>
    <w:rsid w:val="00323351"/>
    <w:rsid w:val="00335E14"/>
    <w:rsid w:val="00346DCE"/>
    <w:rsid w:val="00347FE6"/>
    <w:rsid w:val="003564EE"/>
    <w:rsid w:val="00362C50"/>
    <w:rsid w:val="00364DA0"/>
    <w:rsid w:val="003A6221"/>
    <w:rsid w:val="003C18DA"/>
    <w:rsid w:val="003C2B17"/>
    <w:rsid w:val="003C43C3"/>
    <w:rsid w:val="003C5BBF"/>
    <w:rsid w:val="003D3DDF"/>
    <w:rsid w:val="003D70A9"/>
    <w:rsid w:val="00407E5A"/>
    <w:rsid w:val="00415E28"/>
    <w:rsid w:val="004219B4"/>
    <w:rsid w:val="0042231D"/>
    <w:rsid w:val="004442BD"/>
    <w:rsid w:val="0044498B"/>
    <w:rsid w:val="00451B87"/>
    <w:rsid w:val="0047281B"/>
    <w:rsid w:val="00473C12"/>
    <w:rsid w:val="00477518"/>
    <w:rsid w:val="004806C8"/>
    <w:rsid w:val="004843B4"/>
    <w:rsid w:val="004A79E7"/>
    <w:rsid w:val="004C5676"/>
    <w:rsid w:val="004D18F4"/>
    <w:rsid w:val="00504CD3"/>
    <w:rsid w:val="0050576A"/>
    <w:rsid w:val="005170C5"/>
    <w:rsid w:val="005211BC"/>
    <w:rsid w:val="00527AEA"/>
    <w:rsid w:val="00536B6D"/>
    <w:rsid w:val="00541948"/>
    <w:rsid w:val="00546FBA"/>
    <w:rsid w:val="005506B1"/>
    <w:rsid w:val="00556F05"/>
    <w:rsid w:val="00557CE6"/>
    <w:rsid w:val="00575B52"/>
    <w:rsid w:val="00582CCA"/>
    <w:rsid w:val="005900D5"/>
    <w:rsid w:val="005955C0"/>
    <w:rsid w:val="005A3494"/>
    <w:rsid w:val="005B1CD5"/>
    <w:rsid w:val="005B7BDE"/>
    <w:rsid w:val="005E33AD"/>
    <w:rsid w:val="00612D7C"/>
    <w:rsid w:val="006245DF"/>
    <w:rsid w:val="0062633E"/>
    <w:rsid w:val="00641003"/>
    <w:rsid w:val="00642B4A"/>
    <w:rsid w:val="00660BC2"/>
    <w:rsid w:val="006826DF"/>
    <w:rsid w:val="0068727D"/>
    <w:rsid w:val="00696ED2"/>
    <w:rsid w:val="006A674A"/>
    <w:rsid w:val="006B058C"/>
    <w:rsid w:val="006B1313"/>
    <w:rsid w:val="006C196C"/>
    <w:rsid w:val="006C2810"/>
    <w:rsid w:val="006D17EF"/>
    <w:rsid w:val="006E1427"/>
    <w:rsid w:val="006E554F"/>
    <w:rsid w:val="006F517B"/>
    <w:rsid w:val="00720ECF"/>
    <w:rsid w:val="00727FBC"/>
    <w:rsid w:val="00741A7B"/>
    <w:rsid w:val="00772D5C"/>
    <w:rsid w:val="00781F90"/>
    <w:rsid w:val="007A0E18"/>
    <w:rsid w:val="007B236B"/>
    <w:rsid w:val="007C05EA"/>
    <w:rsid w:val="007E005E"/>
    <w:rsid w:val="007E19F5"/>
    <w:rsid w:val="0080410B"/>
    <w:rsid w:val="00807B1F"/>
    <w:rsid w:val="00820AFD"/>
    <w:rsid w:val="008213D3"/>
    <w:rsid w:val="0082598E"/>
    <w:rsid w:val="008267E7"/>
    <w:rsid w:val="0083133F"/>
    <w:rsid w:val="00841E9A"/>
    <w:rsid w:val="0084206A"/>
    <w:rsid w:val="00856228"/>
    <w:rsid w:val="008807F3"/>
    <w:rsid w:val="00881EF7"/>
    <w:rsid w:val="008860CC"/>
    <w:rsid w:val="008938FF"/>
    <w:rsid w:val="008978E5"/>
    <w:rsid w:val="008A6D9C"/>
    <w:rsid w:val="008B733C"/>
    <w:rsid w:val="008D1C12"/>
    <w:rsid w:val="008D5364"/>
    <w:rsid w:val="008D785A"/>
    <w:rsid w:val="008E4C64"/>
    <w:rsid w:val="008F703E"/>
    <w:rsid w:val="00901F45"/>
    <w:rsid w:val="00922184"/>
    <w:rsid w:val="009259E7"/>
    <w:rsid w:val="00927CBC"/>
    <w:rsid w:val="00931B3B"/>
    <w:rsid w:val="00933E9E"/>
    <w:rsid w:val="009379A9"/>
    <w:rsid w:val="0094557E"/>
    <w:rsid w:val="00962347"/>
    <w:rsid w:val="00962971"/>
    <w:rsid w:val="009725A3"/>
    <w:rsid w:val="00982D9C"/>
    <w:rsid w:val="00982F50"/>
    <w:rsid w:val="009846E0"/>
    <w:rsid w:val="009933B6"/>
    <w:rsid w:val="0099572F"/>
    <w:rsid w:val="009C5C48"/>
    <w:rsid w:val="009D061F"/>
    <w:rsid w:val="009E4ACE"/>
    <w:rsid w:val="009F3845"/>
    <w:rsid w:val="009F5F34"/>
    <w:rsid w:val="00A0775A"/>
    <w:rsid w:val="00A110D9"/>
    <w:rsid w:val="00A35456"/>
    <w:rsid w:val="00A45D9F"/>
    <w:rsid w:val="00A46CF2"/>
    <w:rsid w:val="00A9636B"/>
    <w:rsid w:val="00AA169F"/>
    <w:rsid w:val="00AB6CFA"/>
    <w:rsid w:val="00AC1CE7"/>
    <w:rsid w:val="00AE2A7D"/>
    <w:rsid w:val="00AF4944"/>
    <w:rsid w:val="00AF77B5"/>
    <w:rsid w:val="00B251FB"/>
    <w:rsid w:val="00B40944"/>
    <w:rsid w:val="00B6314F"/>
    <w:rsid w:val="00BD7668"/>
    <w:rsid w:val="00BE2EF8"/>
    <w:rsid w:val="00BF6EEB"/>
    <w:rsid w:val="00C07DA1"/>
    <w:rsid w:val="00C11665"/>
    <w:rsid w:val="00C13EB1"/>
    <w:rsid w:val="00C306EE"/>
    <w:rsid w:val="00C30DF8"/>
    <w:rsid w:val="00C325D0"/>
    <w:rsid w:val="00C33A69"/>
    <w:rsid w:val="00C35A8A"/>
    <w:rsid w:val="00C36E76"/>
    <w:rsid w:val="00C56482"/>
    <w:rsid w:val="00C60021"/>
    <w:rsid w:val="00C70423"/>
    <w:rsid w:val="00C72290"/>
    <w:rsid w:val="00C77F09"/>
    <w:rsid w:val="00C85FFE"/>
    <w:rsid w:val="00CA5833"/>
    <w:rsid w:val="00CA774A"/>
    <w:rsid w:val="00CB1CE3"/>
    <w:rsid w:val="00CB7FD0"/>
    <w:rsid w:val="00CD6D31"/>
    <w:rsid w:val="00CE08C9"/>
    <w:rsid w:val="00CE1D0F"/>
    <w:rsid w:val="00CF34EE"/>
    <w:rsid w:val="00CF3F1C"/>
    <w:rsid w:val="00D12B16"/>
    <w:rsid w:val="00D24381"/>
    <w:rsid w:val="00D27856"/>
    <w:rsid w:val="00D3793D"/>
    <w:rsid w:val="00D576CF"/>
    <w:rsid w:val="00D667E6"/>
    <w:rsid w:val="00D714F1"/>
    <w:rsid w:val="00D7153A"/>
    <w:rsid w:val="00D74644"/>
    <w:rsid w:val="00D7732C"/>
    <w:rsid w:val="00D87772"/>
    <w:rsid w:val="00D87F89"/>
    <w:rsid w:val="00DA4021"/>
    <w:rsid w:val="00DB309E"/>
    <w:rsid w:val="00DD2A51"/>
    <w:rsid w:val="00DF55D7"/>
    <w:rsid w:val="00E23A95"/>
    <w:rsid w:val="00E27D11"/>
    <w:rsid w:val="00E33FC2"/>
    <w:rsid w:val="00E549F7"/>
    <w:rsid w:val="00E54CF4"/>
    <w:rsid w:val="00E76E2F"/>
    <w:rsid w:val="00E82C70"/>
    <w:rsid w:val="00E85A8E"/>
    <w:rsid w:val="00E91A47"/>
    <w:rsid w:val="00E946CF"/>
    <w:rsid w:val="00EC2A0F"/>
    <w:rsid w:val="00EC4DFE"/>
    <w:rsid w:val="00ED1F12"/>
    <w:rsid w:val="00EE266F"/>
    <w:rsid w:val="00EE6F89"/>
    <w:rsid w:val="00F02998"/>
    <w:rsid w:val="00F36DE1"/>
    <w:rsid w:val="00F4468F"/>
    <w:rsid w:val="00F47113"/>
    <w:rsid w:val="00F5352E"/>
    <w:rsid w:val="00F54B2D"/>
    <w:rsid w:val="00F61C05"/>
    <w:rsid w:val="00F65AE8"/>
    <w:rsid w:val="00F662C1"/>
    <w:rsid w:val="00F66409"/>
    <w:rsid w:val="00F8113C"/>
    <w:rsid w:val="00F90C93"/>
    <w:rsid w:val="00F9291D"/>
    <w:rsid w:val="00FC12A6"/>
    <w:rsid w:val="00FD0A9E"/>
    <w:rsid w:val="00FD44DC"/>
    <w:rsid w:val="00FE05D7"/>
    <w:rsid w:val="00FE4C2D"/>
    <w:rsid w:val="00FE59DF"/>
    <w:rsid w:val="00FF1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58E8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0658E8"/>
    <w:pPr>
      <w:keepNext/>
      <w:ind w:right="-720"/>
      <w:outlineLvl w:val="0"/>
    </w:pPr>
    <w:rPr>
      <w:rFonts w:ascii="Book Antiqua" w:hAnsi="Book Antiqua"/>
      <w:b/>
      <w:u w:val="single"/>
    </w:rPr>
  </w:style>
  <w:style w:type="paragraph" w:styleId="Heading2">
    <w:name w:val="heading 2"/>
    <w:basedOn w:val="Normal"/>
    <w:next w:val="Normal"/>
    <w:qFormat/>
    <w:rsid w:val="000658E8"/>
    <w:pPr>
      <w:keepNext/>
      <w:tabs>
        <w:tab w:val="center" w:pos="195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0658E8"/>
    <w:pPr>
      <w:keepNext/>
      <w:widowControl/>
      <w:spacing w:before="120" w:after="120"/>
      <w:outlineLvl w:val="2"/>
    </w:pPr>
    <w:rPr>
      <w:rFonts w:ascii="Arial" w:hAnsi="Arial" w:cs="Arial"/>
      <w:b/>
      <w:bCs/>
      <w:noProof/>
      <w:snapToGrid/>
      <w:spacing w:val="-1"/>
      <w:sz w:val="32"/>
      <w:szCs w:val="23"/>
    </w:rPr>
  </w:style>
  <w:style w:type="paragraph" w:styleId="Heading4">
    <w:name w:val="heading 4"/>
    <w:basedOn w:val="Normal"/>
    <w:next w:val="Normal"/>
    <w:qFormat/>
    <w:rsid w:val="000658E8"/>
    <w:pPr>
      <w:keepNext/>
      <w:ind w:right="-720"/>
      <w:outlineLvl w:val="3"/>
    </w:pPr>
    <w:rPr>
      <w:rFonts w:ascii="Verdana" w:hAnsi="Verdana"/>
      <w:b/>
      <w:sz w:val="22"/>
      <w:u w:val="single"/>
    </w:rPr>
  </w:style>
  <w:style w:type="paragraph" w:styleId="Heading5">
    <w:name w:val="heading 5"/>
    <w:basedOn w:val="Normal"/>
    <w:next w:val="Normal"/>
    <w:qFormat/>
    <w:rsid w:val="000658E8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0658E8"/>
    <w:pPr>
      <w:keepNext/>
      <w:outlineLvl w:val="5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658E8"/>
  </w:style>
  <w:style w:type="paragraph" w:customStyle="1" w:styleId="Level1">
    <w:name w:val="Level 1"/>
    <w:basedOn w:val="Normal"/>
    <w:rsid w:val="000658E8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link w:val="FooterChar"/>
    <w:uiPriority w:val="99"/>
    <w:rsid w:val="000658E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0658E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658E8"/>
  </w:style>
  <w:style w:type="paragraph" w:customStyle="1" w:styleId="PPTitle">
    <w:name w:val="P&amp;PTitle"/>
    <w:basedOn w:val="Heading1"/>
    <w:rsid w:val="000658E8"/>
    <w:pPr>
      <w:widowControl/>
      <w:tabs>
        <w:tab w:val="left" w:pos="-1080"/>
        <w:tab w:val="left" w:pos="-720"/>
        <w:tab w:val="left" w:pos="-90"/>
        <w:tab w:val="left" w:pos="720"/>
      </w:tabs>
      <w:ind w:right="0"/>
      <w:jc w:val="center"/>
    </w:pPr>
    <w:rPr>
      <w:rFonts w:ascii="Verdana" w:hAnsi="Verdana"/>
      <w:sz w:val="28"/>
      <w:u w:val="none"/>
    </w:rPr>
  </w:style>
  <w:style w:type="paragraph" w:customStyle="1" w:styleId="HeaderSection">
    <w:name w:val="HeaderSection"/>
    <w:basedOn w:val="Normal"/>
    <w:autoRedefine/>
    <w:rsid w:val="000658E8"/>
    <w:pPr>
      <w:widowControl/>
      <w:spacing w:after="80"/>
      <w:jc w:val="center"/>
    </w:pPr>
    <w:rPr>
      <w:rFonts w:ascii="Arial Black" w:hAnsi="Arial Black"/>
      <w:sz w:val="16"/>
    </w:rPr>
  </w:style>
  <w:style w:type="paragraph" w:customStyle="1" w:styleId="Style">
    <w:name w:val="Style"/>
    <w:basedOn w:val="Normal"/>
    <w:rsid w:val="000658E8"/>
    <w:pPr>
      <w:ind w:left="720" w:hanging="720"/>
    </w:pPr>
  </w:style>
  <w:style w:type="paragraph" w:styleId="BodyText">
    <w:name w:val="Body Text"/>
    <w:basedOn w:val="Normal"/>
    <w:rsid w:val="000658E8"/>
    <w:pPr>
      <w:ind w:right="-720"/>
    </w:pPr>
    <w:rPr>
      <w:rFonts w:ascii="Arial" w:hAnsi="Arial" w:cs="Arial"/>
      <w:sz w:val="22"/>
    </w:rPr>
  </w:style>
  <w:style w:type="paragraph" w:styleId="BalloonText">
    <w:name w:val="Balloon Text"/>
    <w:basedOn w:val="Normal"/>
    <w:semiHidden/>
    <w:rsid w:val="00C704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6D9C"/>
    <w:pPr>
      <w:ind w:left="720"/>
      <w:contextualSpacing/>
    </w:pPr>
  </w:style>
  <w:style w:type="paragraph" w:customStyle="1" w:styleId="body1">
    <w:name w:val="body 1"/>
    <w:basedOn w:val="Normal"/>
    <w:rsid w:val="00C60021"/>
  </w:style>
  <w:style w:type="paragraph" w:styleId="BodyText2">
    <w:name w:val="Body Text 2"/>
    <w:basedOn w:val="Normal"/>
    <w:link w:val="BodyText2Char"/>
    <w:rsid w:val="00C60021"/>
    <w:pPr>
      <w:widowControl/>
      <w:spacing w:after="120" w:line="480" w:lineRule="auto"/>
    </w:pPr>
    <w:rPr>
      <w:snapToGrid/>
      <w:szCs w:val="24"/>
    </w:rPr>
  </w:style>
  <w:style w:type="character" w:customStyle="1" w:styleId="BodyText2Char">
    <w:name w:val="Body Text 2 Char"/>
    <w:basedOn w:val="DefaultParagraphFont"/>
    <w:link w:val="BodyText2"/>
    <w:rsid w:val="00C60021"/>
    <w:rPr>
      <w:sz w:val="24"/>
      <w:szCs w:val="24"/>
    </w:rPr>
  </w:style>
  <w:style w:type="paragraph" w:styleId="BodyText3">
    <w:name w:val="Body Text 3"/>
    <w:basedOn w:val="Normal"/>
    <w:link w:val="BodyText3Char"/>
    <w:rsid w:val="00C60021"/>
    <w:pPr>
      <w:widowControl/>
      <w:spacing w:after="120"/>
    </w:pPr>
    <w:rPr>
      <w:snapToGrid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60021"/>
    <w:rPr>
      <w:sz w:val="16"/>
      <w:szCs w:val="16"/>
    </w:rPr>
  </w:style>
  <w:style w:type="paragraph" w:customStyle="1" w:styleId="bodytext4">
    <w:name w:val="body text 4"/>
    <w:basedOn w:val="BodyText"/>
    <w:rsid w:val="00C60021"/>
    <w:pPr>
      <w:widowControl/>
      <w:tabs>
        <w:tab w:val="left" w:pos="10080"/>
      </w:tabs>
      <w:spacing w:line="280" w:lineRule="exact"/>
      <w:ind w:left="-576" w:right="-576"/>
    </w:pPr>
    <w:rPr>
      <w:b/>
      <w:bCs/>
      <w:snapToGrid/>
      <w:sz w:val="24"/>
      <w:szCs w:val="24"/>
    </w:rPr>
  </w:style>
  <w:style w:type="paragraph" w:customStyle="1" w:styleId="Bullets">
    <w:name w:val="B ullets"/>
    <w:basedOn w:val="Normal"/>
    <w:qFormat/>
    <w:rsid w:val="00C60021"/>
    <w:pPr>
      <w:widowControl/>
      <w:numPr>
        <w:numId w:val="16"/>
      </w:numPr>
    </w:pPr>
    <w:rPr>
      <w:rFonts w:ascii="Arial" w:hAnsi="Arial" w:cs="Arial"/>
      <w:snapToGrid/>
      <w:szCs w:val="24"/>
    </w:rPr>
  </w:style>
  <w:style w:type="paragraph" w:customStyle="1" w:styleId="Table1">
    <w:name w:val="Table1"/>
    <w:basedOn w:val="body1"/>
    <w:qFormat/>
    <w:rsid w:val="00C60021"/>
    <w:pPr>
      <w:widowControl/>
    </w:pPr>
    <w:rPr>
      <w:b/>
      <w:noProof/>
      <w:snapToGrid/>
      <w:szCs w:val="24"/>
    </w:rPr>
  </w:style>
  <w:style w:type="paragraph" w:customStyle="1" w:styleId="Table2">
    <w:name w:val="Table2"/>
    <w:basedOn w:val="BodyText3"/>
    <w:qFormat/>
    <w:rsid w:val="00C60021"/>
    <w:pPr>
      <w:spacing w:after="0" w:line="240" w:lineRule="atLeast"/>
    </w:pPr>
    <w:rPr>
      <w:rFonts w:ascii="Arial" w:hAnsi="Arial" w:cs="Arial"/>
      <w:sz w:val="28"/>
      <w:szCs w:val="28"/>
    </w:rPr>
  </w:style>
  <w:style w:type="paragraph" w:customStyle="1" w:styleId="Table3">
    <w:name w:val="Table3"/>
    <w:basedOn w:val="bodytext4"/>
    <w:qFormat/>
    <w:rsid w:val="00C60021"/>
    <w:pPr>
      <w:tabs>
        <w:tab w:val="clear" w:pos="10080"/>
      </w:tabs>
      <w:spacing w:after="120" w:line="240" w:lineRule="atLeast"/>
      <w:ind w:left="0" w:right="0"/>
    </w:pPr>
    <w:rPr>
      <w:rFonts w:cs="Times New Roman"/>
      <w:bCs w:val="0"/>
    </w:rPr>
  </w:style>
  <w:style w:type="paragraph" w:customStyle="1" w:styleId="BodyText6">
    <w:name w:val="Body Text 6"/>
    <w:basedOn w:val="Normal"/>
    <w:qFormat/>
    <w:rsid w:val="00C60021"/>
    <w:pPr>
      <w:widowControl/>
      <w:spacing w:line="200" w:lineRule="atLeast"/>
      <w:jc w:val="both"/>
    </w:pPr>
    <w:rPr>
      <w:snapToGrid/>
      <w:sz w:val="16"/>
      <w:szCs w:val="24"/>
    </w:rPr>
  </w:style>
  <w:style w:type="character" w:customStyle="1" w:styleId="a">
    <w:name w:val="_"/>
    <w:basedOn w:val="DefaultParagraphFont"/>
    <w:rsid w:val="00042F75"/>
  </w:style>
  <w:style w:type="paragraph" w:customStyle="1" w:styleId="Style0">
    <w:name w:val="Style0"/>
    <w:rsid w:val="00042F75"/>
    <w:rPr>
      <w:rFonts w:ascii="Arial" w:hAnsi="Arial"/>
      <w:snapToGrid w:val="0"/>
      <w:sz w:val="24"/>
    </w:rPr>
  </w:style>
  <w:style w:type="paragraph" w:customStyle="1" w:styleId="Body10">
    <w:name w:val="Body 1"/>
    <w:basedOn w:val="Style0"/>
    <w:qFormat/>
    <w:rsid w:val="00042F75"/>
    <w:pPr>
      <w:widowControl w:val="0"/>
      <w:tabs>
        <w:tab w:val="left" w:pos="90"/>
      </w:tabs>
      <w:ind w:left="90"/>
    </w:pPr>
    <w:rPr>
      <w:bCs/>
      <w:sz w:val="28"/>
    </w:rPr>
  </w:style>
  <w:style w:type="paragraph" w:customStyle="1" w:styleId="Bullet1">
    <w:name w:val="Bullet 1"/>
    <w:basedOn w:val="Body10"/>
    <w:qFormat/>
    <w:rsid w:val="00042F75"/>
    <w:rPr>
      <w:sz w:val="24"/>
    </w:rPr>
  </w:style>
  <w:style w:type="paragraph" w:customStyle="1" w:styleId="Bullet2">
    <w:name w:val="Bullet 2"/>
    <w:basedOn w:val="EndnoteText"/>
    <w:qFormat/>
    <w:rsid w:val="00042F75"/>
  </w:style>
  <w:style w:type="paragraph" w:customStyle="1" w:styleId="Body2">
    <w:name w:val="Body 2"/>
    <w:basedOn w:val="Heading3"/>
    <w:qFormat/>
    <w:rsid w:val="00042F75"/>
    <w:pPr>
      <w:widowControl w:val="0"/>
      <w:tabs>
        <w:tab w:val="left" w:pos="-810"/>
        <w:tab w:val="left" w:pos="360"/>
      </w:tabs>
      <w:suppressAutoHyphens/>
      <w:spacing w:after="0" w:line="218" w:lineRule="auto"/>
      <w:ind w:left="360"/>
    </w:pPr>
    <w:rPr>
      <w:rFonts w:cs="Times New Roman"/>
      <w:b w:val="0"/>
      <w:bCs w:val="0"/>
      <w:noProof w:val="0"/>
      <w:snapToGrid w:val="0"/>
      <w:spacing w:val="0"/>
      <w:sz w:val="28"/>
      <w:szCs w:val="20"/>
    </w:rPr>
  </w:style>
  <w:style w:type="paragraph" w:customStyle="1" w:styleId="Bullet3">
    <w:name w:val="Bullet 3"/>
    <w:basedOn w:val="Normal"/>
    <w:qFormat/>
    <w:rsid w:val="00042F75"/>
    <w:pPr>
      <w:widowControl/>
    </w:pPr>
    <w:rPr>
      <w:rFonts w:ascii="Arial" w:hAnsi="Arial"/>
      <w:snapToGrid/>
      <w:szCs w:val="24"/>
    </w:rPr>
  </w:style>
  <w:style w:type="paragraph" w:customStyle="1" w:styleId="Body3">
    <w:name w:val="Body 3"/>
    <w:basedOn w:val="BodyText3"/>
    <w:qFormat/>
    <w:rsid w:val="00042F75"/>
    <w:pPr>
      <w:widowControl w:val="0"/>
      <w:tabs>
        <w:tab w:val="left" w:pos="-720"/>
        <w:tab w:val="left" w:pos="0"/>
        <w:tab w:val="left" w:pos="90"/>
      </w:tabs>
      <w:suppressAutoHyphens/>
      <w:spacing w:after="0" w:line="218" w:lineRule="auto"/>
      <w:jc w:val="center"/>
    </w:pPr>
    <w:rPr>
      <w:rFonts w:ascii="Arial" w:hAnsi="Arial" w:cs="Arial"/>
      <w:b/>
      <w:bCs/>
      <w:snapToGrid w:val="0"/>
      <w:sz w:val="24"/>
      <w:szCs w:val="24"/>
    </w:rPr>
  </w:style>
  <w:style w:type="paragraph" w:customStyle="1" w:styleId="Body4">
    <w:name w:val="Body 4"/>
    <w:basedOn w:val="Normal"/>
    <w:qFormat/>
    <w:rsid w:val="00042F75"/>
    <w:pPr>
      <w:widowControl/>
      <w:ind w:firstLine="450"/>
    </w:pPr>
    <w:rPr>
      <w:rFonts w:ascii="Arial" w:hAnsi="Arial" w:cs="Arial"/>
      <w:snapToGrid/>
      <w:sz w:val="28"/>
      <w:szCs w:val="28"/>
    </w:rPr>
  </w:style>
  <w:style w:type="paragraph" w:customStyle="1" w:styleId="Bullet4">
    <w:name w:val="Bullet 4"/>
    <w:basedOn w:val="Normal"/>
    <w:qFormat/>
    <w:rsid w:val="00042F75"/>
    <w:pPr>
      <w:numPr>
        <w:numId w:val="18"/>
      </w:numPr>
      <w:tabs>
        <w:tab w:val="left" w:pos="1080"/>
      </w:tabs>
      <w:ind w:left="1080" w:hanging="630"/>
    </w:pPr>
    <w:rPr>
      <w:rFonts w:ascii="Arial" w:hAnsi="Arial" w:cs="Arial"/>
      <w:snapToGrid/>
      <w:szCs w:val="24"/>
    </w:rPr>
  </w:style>
  <w:style w:type="paragraph" w:customStyle="1" w:styleId="Body5">
    <w:name w:val="Body 5"/>
    <w:basedOn w:val="Body4"/>
    <w:qFormat/>
    <w:rsid w:val="00042F75"/>
    <w:pPr>
      <w:ind w:firstLine="0"/>
    </w:pPr>
  </w:style>
  <w:style w:type="paragraph" w:styleId="EndnoteText">
    <w:name w:val="endnote text"/>
    <w:basedOn w:val="Normal"/>
    <w:link w:val="EndnoteTextChar"/>
    <w:rsid w:val="00042F75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042F75"/>
    <w:rPr>
      <w:snapToGrid w:val="0"/>
    </w:rPr>
  </w:style>
  <w:style w:type="character" w:customStyle="1" w:styleId="HeaderChar">
    <w:name w:val="Header Char"/>
    <w:basedOn w:val="DefaultParagraphFont"/>
    <w:link w:val="Header"/>
    <w:rsid w:val="00042F75"/>
    <w:rPr>
      <w:snapToGrid w:val="0"/>
      <w:sz w:val="24"/>
    </w:rPr>
  </w:style>
  <w:style w:type="paragraph" w:styleId="Revision">
    <w:name w:val="Revision"/>
    <w:hidden/>
    <w:uiPriority w:val="99"/>
    <w:semiHidden/>
    <w:rsid w:val="00933E9E"/>
    <w:rPr>
      <w:snapToGrid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F55D7"/>
    <w:rPr>
      <w:snapToGrid w:val="0"/>
      <w:sz w:val="24"/>
    </w:rPr>
  </w:style>
  <w:style w:type="character" w:styleId="Hyperlink">
    <w:name w:val="Hyperlink"/>
    <w:basedOn w:val="DefaultParagraphFont"/>
    <w:rsid w:val="00EE26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0BC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Tha-fs1\2006\Approved%20Forms\Patient%20Notifications\Medicare%20Hospice%20Benefit%20Revocatio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\\THA-FS1\IslandHealth\2006\Approved%20Forms\Patient%20Notification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sp3163\Local%20Settings\Temporary%20Internet%20Files\OLK13\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5D686-3E6B-4EFC-8530-C9460D36C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 Template</Template>
  <TotalTime>105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Dell Computer Corporation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Brooks User</dc:creator>
  <cp:lastModifiedBy>LPrell</cp:lastModifiedBy>
  <cp:revision>13</cp:revision>
  <cp:lastPrinted>2018-01-11T14:57:00Z</cp:lastPrinted>
  <dcterms:created xsi:type="dcterms:W3CDTF">2015-03-09T16:04:00Z</dcterms:created>
  <dcterms:modified xsi:type="dcterms:W3CDTF">2017-12-27T16:01:00Z</dcterms:modified>
</cp:coreProperties>
</file>