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4"/>
        <w:gridCol w:w="2498"/>
        <w:gridCol w:w="4534"/>
      </w:tblGrid>
      <w:tr w:rsidR="00FC4254" w:rsidTr="0088596E">
        <w:trPr>
          <w:cantSplit/>
          <w:trHeight w:val="265"/>
        </w:trPr>
        <w:tc>
          <w:tcPr>
            <w:tcW w:w="4320" w:type="dxa"/>
            <w:vMerge w:val="restart"/>
          </w:tcPr>
          <w:p w:rsidR="00FC4254" w:rsidRPr="0088596E" w:rsidRDefault="00FC4254" w:rsidP="006821AE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b w:val="0"/>
                <w:sz w:val="36"/>
                <w:szCs w:val="28"/>
              </w:rPr>
            </w:pPr>
            <w:r w:rsidRPr="0088596E">
              <w:rPr>
                <w:rFonts w:cs="Arial"/>
                <w:noProof/>
                <w:spacing w:val="-1"/>
                <w:sz w:val="36"/>
                <w:szCs w:val="28"/>
              </w:rPr>
              <w:t>Cardiopulmonary Resuscitation (CPR)</w:t>
            </w:r>
          </w:p>
        </w:tc>
        <w:tc>
          <w:tcPr>
            <w:tcW w:w="2880" w:type="dxa"/>
            <w:tcBorders>
              <w:right w:val="nil"/>
            </w:tcBorders>
          </w:tcPr>
          <w:p w:rsidR="00FC4254" w:rsidRPr="0088596E" w:rsidRDefault="00FC4254">
            <w:pPr>
              <w:spacing w:before="40"/>
              <w:rPr>
                <w:rFonts w:ascii="Arial" w:hAnsi="Arial" w:cs="Arial"/>
              </w:rPr>
            </w:pPr>
            <w:r w:rsidRPr="0088596E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5620" w:type="dxa"/>
            <w:tcBorders>
              <w:left w:val="nil"/>
            </w:tcBorders>
          </w:tcPr>
          <w:p w:rsidR="00FC4254" w:rsidRPr="0088596E" w:rsidRDefault="0088596E" w:rsidP="00302CF7">
            <w:pPr>
              <w:spacing w:before="40"/>
              <w:rPr>
                <w:rFonts w:ascii="Arial" w:hAnsi="Arial" w:cs="Arial"/>
              </w:rPr>
            </w:pPr>
            <w:r w:rsidRPr="0088596E">
              <w:rPr>
                <w:rFonts w:ascii="Arial" w:hAnsi="Arial" w:cs="Arial"/>
              </w:rPr>
              <w:t>March 2015</w:t>
            </w:r>
            <w:r w:rsidR="0088087B">
              <w:rPr>
                <w:rFonts w:ascii="Arial" w:hAnsi="Arial" w:cs="Arial"/>
              </w:rPr>
              <w:t xml:space="preserve"> </w:t>
            </w:r>
          </w:p>
        </w:tc>
      </w:tr>
      <w:tr w:rsidR="0088596E" w:rsidTr="0088596E">
        <w:trPr>
          <w:cantSplit/>
          <w:trHeight w:val="265"/>
        </w:trPr>
        <w:tc>
          <w:tcPr>
            <w:tcW w:w="4320" w:type="dxa"/>
            <w:vMerge/>
          </w:tcPr>
          <w:p w:rsidR="0088596E" w:rsidRPr="0088596E" w:rsidRDefault="0088596E" w:rsidP="006821AE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noProof/>
                <w:spacing w:val="-1"/>
                <w:sz w:val="36"/>
                <w:szCs w:val="2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88596E" w:rsidRPr="0088596E" w:rsidRDefault="0088596E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88596E">
              <w:rPr>
                <w:rFonts w:ascii="Arial" w:hAnsi="Arial" w:cs="Arial"/>
                <w:b/>
                <w:bCs/>
              </w:rPr>
              <w:t>Last Reviewed:</w:t>
            </w:r>
          </w:p>
        </w:tc>
        <w:tc>
          <w:tcPr>
            <w:tcW w:w="5620" w:type="dxa"/>
            <w:tcBorders>
              <w:left w:val="nil"/>
            </w:tcBorders>
          </w:tcPr>
          <w:p w:rsidR="0088596E" w:rsidRPr="0088596E" w:rsidRDefault="0088087B" w:rsidP="005538DF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November </w:t>
            </w:r>
            <w:r w:rsidR="005538DF">
              <w:rPr>
                <w:rFonts w:ascii="Arial" w:hAnsi="Arial" w:cs="Arial"/>
              </w:rPr>
              <w:t>2017</w:t>
            </w:r>
          </w:p>
        </w:tc>
      </w:tr>
      <w:tr w:rsidR="00FC4254" w:rsidTr="0088596E">
        <w:trPr>
          <w:cantSplit/>
          <w:trHeight w:val="827"/>
        </w:trPr>
        <w:tc>
          <w:tcPr>
            <w:tcW w:w="4320" w:type="dxa"/>
            <w:vMerge/>
          </w:tcPr>
          <w:p w:rsidR="00FC4254" w:rsidRDefault="00FC4254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FC4254" w:rsidRPr="0088596E" w:rsidRDefault="00FC4254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88596E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620" w:type="dxa"/>
            <w:tcBorders>
              <w:left w:val="nil"/>
            </w:tcBorders>
          </w:tcPr>
          <w:p w:rsidR="00FC4254" w:rsidRPr="0088596E" w:rsidRDefault="00FC42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596E">
              <w:rPr>
                <w:rFonts w:ascii="Arial" w:hAnsi="Arial" w:cs="Arial"/>
              </w:rPr>
              <w:t>Island Health Care</w:t>
            </w:r>
          </w:p>
          <w:p w:rsidR="00FC4254" w:rsidRPr="0088596E" w:rsidRDefault="00FC42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596E">
              <w:rPr>
                <w:rFonts w:ascii="Arial" w:hAnsi="Arial" w:cs="Arial"/>
              </w:rPr>
              <w:t>Island Hospice</w:t>
            </w:r>
          </w:p>
          <w:p w:rsidR="00FC4254" w:rsidRPr="0088596E" w:rsidRDefault="00FC425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88596E">
              <w:rPr>
                <w:rFonts w:ascii="Arial" w:hAnsi="Arial" w:cs="Arial"/>
              </w:rPr>
              <w:t>Independent Life at Home</w:t>
            </w:r>
          </w:p>
          <w:p w:rsidR="00FC4254" w:rsidRPr="0088596E" w:rsidRDefault="00FC4254" w:rsidP="0088596E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bCs/>
              </w:rPr>
            </w:pPr>
            <w:r w:rsidRPr="0088596E">
              <w:rPr>
                <w:rFonts w:ascii="Arial" w:hAnsi="Arial" w:cs="Arial"/>
              </w:rPr>
              <w:t>RightHealth</w:t>
            </w:r>
            <w:r w:rsidRPr="0088596E">
              <w:rPr>
                <w:rFonts w:ascii="Arial" w:hAnsi="Arial" w:cs="Arial"/>
                <w:vertAlign w:val="superscript"/>
              </w:rPr>
              <w:t>®</w:t>
            </w:r>
          </w:p>
        </w:tc>
      </w:tr>
      <w:tr w:rsidR="00FC4254" w:rsidTr="0088596E">
        <w:trPr>
          <w:cantSplit/>
          <w:trHeight w:val="602"/>
        </w:trPr>
        <w:tc>
          <w:tcPr>
            <w:tcW w:w="4320" w:type="dxa"/>
            <w:vMerge/>
          </w:tcPr>
          <w:p w:rsidR="00FC4254" w:rsidRDefault="00FC4254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FC4254" w:rsidRPr="0088596E" w:rsidRDefault="00FC4254" w:rsidP="000E15CA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88596E">
              <w:rPr>
                <w:rFonts w:ascii="Arial" w:hAnsi="Arial" w:cs="Arial"/>
                <w:b/>
                <w:bCs/>
              </w:rPr>
              <w:t>Included in the following THA Manual</w:t>
            </w:r>
            <w:r w:rsidR="0088596E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620" w:type="dxa"/>
            <w:tcBorders>
              <w:left w:val="nil"/>
            </w:tcBorders>
          </w:tcPr>
          <w:p w:rsidR="00FC4254" w:rsidRPr="0088596E" w:rsidRDefault="00FC4254" w:rsidP="0088596E">
            <w:pPr>
              <w:rPr>
                <w:rFonts w:ascii="Arial" w:hAnsi="Arial" w:cs="Arial"/>
                <w:bCs/>
              </w:rPr>
            </w:pPr>
            <w:r w:rsidRPr="0088596E">
              <w:rPr>
                <w:rFonts w:ascii="Arial" w:hAnsi="Arial" w:cs="Arial"/>
                <w:bCs/>
              </w:rPr>
              <w:t>Administrative Policies &amp; Procedures</w:t>
            </w:r>
          </w:p>
          <w:p w:rsidR="00FC4254" w:rsidRPr="0088596E" w:rsidRDefault="00FC4254" w:rsidP="0088596E">
            <w:pPr>
              <w:ind w:left="371"/>
              <w:rPr>
                <w:rFonts w:ascii="Arial" w:hAnsi="Arial" w:cs="Arial"/>
              </w:rPr>
            </w:pPr>
            <w:r w:rsidRPr="0088596E">
              <w:rPr>
                <w:rFonts w:ascii="Arial" w:hAnsi="Arial" w:cs="Arial"/>
                <w:bCs/>
              </w:rPr>
              <w:t xml:space="preserve">Provision of Care, Treatment </w:t>
            </w:r>
            <w:r w:rsidR="0088596E">
              <w:rPr>
                <w:rFonts w:ascii="Arial" w:hAnsi="Arial" w:cs="Arial"/>
                <w:bCs/>
              </w:rPr>
              <w:t>&amp;</w:t>
            </w:r>
            <w:r w:rsidRPr="0088596E">
              <w:rPr>
                <w:rFonts w:ascii="Arial" w:hAnsi="Arial" w:cs="Arial"/>
                <w:bCs/>
              </w:rPr>
              <w:t xml:space="preserve"> Service</w:t>
            </w:r>
          </w:p>
        </w:tc>
      </w:tr>
    </w:tbl>
    <w:p w:rsidR="00C42CF4" w:rsidRPr="0088596E" w:rsidRDefault="00C42CF4">
      <w:pPr>
        <w:spacing w:before="40" w:after="40"/>
        <w:rPr>
          <w:rFonts w:ascii="Arial" w:hAnsi="Arial" w:cs="Arial"/>
          <w:sz w:val="22"/>
        </w:rPr>
      </w:pPr>
    </w:p>
    <w:p w:rsidR="00D144D6" w:rsidRPr="0088596E" w:rsidRDefault="00D144D6" w:rsidP="00053790">
      <w:pPr>
        <w:pStyle w:val="Heading6"/>
        <w:rPr>
          <w:sz w:val="24"/>
          <w:szCs w:val="24"/>
        </w:rPr>
      </w:pPr>
      <w:r w:rsidRPr="0088596E">
        <w:rPr>
          <w:sz w:val="24"/>
          <w:szCs w:val="24"/>
        </w:rPr>
        <w:t>PURPOSE</w:t>
      </w:r>
    </w:p>
    <w:p w:rsidR="00053790" w:rsidRPr="0088596E" w:rsidRDefault="00053790" w:rsidP="00053790"/>
    <w:p w:rsidR="00D144D6" w:rsidRPr="0088596E" w:rsidRDefault="006821AE" w:rsidP="00053790">
      <w:pPr>
        <w:pStyle w:val="Heading6"/>
        <w:rPr>
          <w:b w:val="0"/>
          <w:sz w:val="24"/>
          <w:szCs w:val="24"/>
          <w:u w:val="none"/>
        </w:rPr>
      </w:pPr>
      <w:r w:rsidRPr="0088596E">
        <w:rPr>
          <w:b w:val="0"/>
          <w:sz w:val="24"/>
          <w:szCs w:val="24"/>
          <w:u w:val="none"/>
        </w:rPr>
        <w:t>To ensure adherence to the patient's right to receive resuscitation measures</w:t>
      </w:r>
      <w:r w:rsidRPr="0088596E" w:rsidDel="006821AE">
        <w:rPr>
          <w:b w:val="0"/>
          <w:sz w:val="24"/>
          <w:szCs w:val="24"/>
          <w:u w:val="none"/>
        </w:rPr>
        <w:t xml:space="preserve"> </w:t>
      </w:r>
      <w:r w:rsidR="00053790" w:rsidRPr="0088596E">
        <w:rPr>
          <w:b w:val="0"/>
          <w:sz w:val="24"/>
          <w:szCs w:val="24"/>
          <w:u w:val="none"/>
        </w:rPr>
        <w:br/>
      </w:r>
    </w:p>
    <w:p w:rsidR="00C42CF4" w:rsidRPr="0088596E" w:rsidRDefault="00C42CF4" w:rsidP="00053790">
      <w:pPr>
        <w:pStyle w:val="Heading6"/>
        <w:rPr>
          <w:sz w:val="24"/>
          <w:szCs w:val="24"/>
        </w:rPr>
      </w:pPr>
      <w:r w:rsidRPr="0088596E">
        <w:rPr>
          <w:sz w:val="24"/>
          <w:szCs w:val="24"/>
        </w:rPr>
        <w:t xml:space="preserve">POLICY </w:t>
      </w:r>
    </w:p>
    <w:p w:rsidR="00053790" w:rsidRPr="0088596E" w:rsidRDefault="00053790" w:rsidP="00053790"/>
    <w:p w:rsidR="006821AE" w:rsidRPr="0088596E" w:rsidRDefault="007674BE" w:rsidP="006821AE">
      <w:pPr>
        <w:pStyle w:val="Default"/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THA Group </w:t>
      </w:r>
      <w:r w:rsidR="006821AE" w:rsidRPr="0088596E">
        <w:rPr>
          <w:rFonts w:ascii="Arial" w:hAnsi="Arial" w:cs="Arial"/>
          <w:color w:val="auto"/>
        </w:rPr>
        <w:t xml:space="preserve">staff will respond to arrest situations with the initiation of CPR when a Do Not Resuscitate (DNR) order does not exist. </w:t>
      </w:r>
    </w:p>
    <w:p w:rsidR="00266B25" w:rsidRPr="0088596E" w:rsidRDefault="00266B25" w:rsidP="00053790">
      <w:pPr>
        <w:spacing w:before="40" w:after="40"/>
        <w:rPr>
          <w:rFonts w:ascii="Arial" w:hAnsi="Arial" w:cs="Arial"/>
          <w:szCs w:val="24"/>
        </w:rPr>
      </w:pPr>
    </w:p>
    <w:p w:rsidR="00C42CF4" w:rsidRPr="0088596E" w:rsidRDefault="009E7B60" w:rsidP="00053790">
      <w:pPr>
        <w:pStyle w:val="Heading3"/>
        <w:jc w:val="left"/>
        <w:rPr>
          <w:sz w:val="24"/>
          <w:szCs w:val="24"/>
        </w:rPr>
      </w:pPr>
      <w:r w:rsidRPr="0088596E">
        <w:rPr>
          <w:sz w:val="24"/>
          <w:szCs w:val="24"/>
        </w:rPr>
        <w:t xml:space="preserve">PROCEDURE </w:t>
      </w:r>
    </w:p>
    <w:p w:rsidR="00053790" w:rsidRPr="0088596E" w:rsidRDefault="00053790" w:rsidP="00053790"/>
    <w:p w:rsidR="006821AE" w:rsidRPr="0088596E" w:rsidRDefault="006821AE" w:rsidP="006821AE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Upon cardiac arrest of any patient that does not have a DNR order, </w:t>
      </w:r>
      <w:r w:rsidR="007674BE" w:rsidRPr="0088596E">
        <w:rPr>
          <w:rFonts w:ascii="Arial" w:hAnsi="Arial" w:cs="Arial"/>
          <w:color w:val="auto"/>
        </w:rPr>
        <w:t xml:space="preserve">THA Group </w:t>
      </w:r>
      <w:r w:rsidRPr="0088596E">
        <w:rPr>
          <w:rFonts w:ascii="Arial" w:hAnsi="Arial" w:cs="Arial"/>
          <w:color w:val="auto"/>
        </w:rPr>
        <w:t xml:space="preserve">professional and paraprofessional staff trained in CPR will respond to the situation. </w:t>
      </w:r>
    </w:p>
    <w:p w:rsidR="006821AE" w:rsidRPr="0088596E" w:rsidRDefault="006821AE" w:rsidP="006821AE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Witnessed Arrest: </w:t>
      </w:r>
    </w:p>
    <w:p w:rsidR="006821AE" w:rsidRPr="0088596E" w:rsidRDefault="007674BE" w:rsidP="006821AE">
      <w:pPr>
        <w:pStyle w:val="Default"/>
        <w:numPr>
          <w:ilvl w:val="1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THA Group staff </w:t>
      </w:r>
      <w:r w:rsidR="006821AE" w:rsidRPr="0088596E">
        <w:rPr>
          <w:rFonts w:ascii="Arial" w:hAnsi="Arial" w:cs="Arial"/>
          <w:color w:val="auto"/>
        </w:rPr>
        <w:t>will initiate emergency services by calling 911 or the service number for first responder of the area.</w:t>
      </w:r>
    </w:p>
    <w:p w:rsidR="006821AE" w:rsidRPr="0088596E" w:rsidRDefault="006821AE" w:rsidP="006821AE">
      <w:pPr>
        <w:pStyle w:val="Default"/>
        <w:numPr>
          <w:ilvl w:val="1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 Initiation</w:t>
      </w:r>
      <w:r w:rsidR="007674BE" w:rsidRPr="0088596E">
        <w:rPr>
          <w:rFonts w:ascii="Arial" w:hAnsi="Arial" w:cs="Arial"/>
          <w:color w:val="auto"/>
        </w:rPr>
        <w:t xml:space="preserve"> of CPR</w:t>
      </w:r>
      <w:r w:rsidRPr="0088596E">
        <w:rPr>
          <w:rFonts w:ascii="Arial" w:hAnsi="Arial" w:cs="Arial"/>
          <w:color w:val="auto"/>
        </w:rPr>
        <w:t xml:space="preserve"> and continuation of resuscitative efforts will be made until one of the following occurs:</w:t>
      </w:r>
    </w:p>
    <w:p w:rsidR="006821AE" w:rsidRPr="0088596E" w:rsidRDefault="006821AE" w:rsidP="006821AE">
      <w:pPr>
        <w:pStyle w:val="Default"/>
        <w:numPr>
          <w:ilvl w:val="2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Patient revives, </w:t>
      </w:r>
    </w:p>
    <w:p w:rsidR="006821AE" w:rsidRPr="0088596E" w:rsidRDefault="006821AE" w:rsidP="006821AE">
      <w:pPr>
        <w:pStyle w:val="Default"/>
        <w:numPr>
          <w:ilvl w:val="2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>Staff beco</w:t>
      </w:r>
      <w:r w:rsidR="007674BE" w:rsidRPr="0088596E">
        <w:rPr>
          <w:rFonts w:ascii="Arial" w:hAnsi="Arial" w:cs="Arial"/>
          <w:color w:val="auto"/>
        </w:rPr>
        <w:t>mes too exhausted to continue,</w:t>
      </w:r>
    </w:p>
    <w:p w:rsidR="006821AE" w:rsidRPr="0088596E" w:rsidRDefault="006821AE" w:rsidP="006821AE">
      <w:pPr>
        <w:pStyle w:val="Default"/>
        <w:numPr>
          <w:ilvl w:val="2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>Help arrives</w:t>
      </w:r>
    </w:p>
    <w:p w:rsidR="006821AE" w:rsidRPr="0088596E" w:rsidRDefault="006821AE" w:rsidP="006821AE">
      <w:pPr>
        <w:pStyle w:val="Default"/>
        <w:numPr>
          <w:ilvl w:val="0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Non-Witnessed Arrest: </w:t>
      </w:r>
    </w:p>
    <w:p w:rsidR="006821AE" w:rsidRPr="0088596E" w:rsidRDefault="007674BE" w:rsidP="006821AE">
      <w:pPr>
        <w:pStyle w:val="Default"/>
        <w:numPr>
          <w:ilvl w:val="1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>THA Group staff</w:t>
      </w:r>
      <w:r w:rsidR="006821AE" w:rsidRPr="0088596E">
        <w:rPr>
          <w:rFonts w:ascii="Arial" w:hAnsi="Arial" w:cs="Arial"/>
          <w:color w:val="auto"/>
        </w:rPr>
        <w:t xml:space="preserve"> will assess the patient's condition</w:t>
      </w:r>
      <w:r w:rsidRPr="0088596E">
        <w:rPr>
          <w:rFonts w:ascii="Arial" w:hAnsi="Arial" w:cs="Arial"/>
          <w:color w:val="auto"/>
        </w:rPr>
        <w:t>, initiate</w:t>
      </w:r>
      <w:r w:rsidR="006821AE" w:rsidRPr="0088596E">
        <w:rPr>
          <w:rFonts w:ascii="Arial" w:hAnsi="Arial" w:cs="Arial"/>
          <w:color w:val="auto"/>
        </w:rPr>
        <w:t xml:space="preserve"> emergency services by calling 911 or </w:t>
      </w:r>
      <w:r w:rsidRPr="0088596E">
        <w:rPr>
          <w:rFonts w:ascii="Arial" w:hAnsi="Arial" w:cs="Arial"/>
          <w:color w:val="auto"/>
        </w:rPr>
        <w:t xml:space="preserve">the service number for the </w:t>
      </w:r>
      <w:r w:rsidR="006821AE" w:rsidRPr="0088596E">
        <w:rPr>
          <w:rFonts w:ascii="Arial" w:hAnsi="Arial" w:cs="Arial"/>
          <w:color w:val="auto"/>
        </w:rPr>
        <w:t>first responder of the area</w:t>
      </w:r>
      <w:r w:rsidR="00F602D4" w:rsidRPr="0088596E">
        <w:rPr>
          <w:rFonts w:ascii="Arial" w:hAnsi="Arial" w:cs="Arial"/>
          <w:color w:val="auto"/>
        </w:rPr>
        <w:t>, begin</w:t>
      </w:r>
      <w:r w:rsidR="006821AE" w:rsidRPr="0088596E">
        <w:rPr>
          <w:rFonts w:ascii="Arial" w:hAnsi="Arial" w:cs="Arial"/>
          <w:color w:val="auto"/>
        </w:rPr>
        <w:t xml:space="preserve"> CPR and continue</w:t>
      </w:r>
      <w:r w:rsidR="00F602D4" w:rsidRPr="0088596E">
        <w:rPr>
          <w:rFonts w:ascii="Arial" w:hAnsi="Arial" w:cs="Arial"/>
          <w:color w:val="auto"/>
        </w:rPr>
        <w:t xml:space="preserve"> CPR</w:t>
      </w:r>
      <w:r w:rsidR="006821AE" w:rsidRPr="0088596E">
        <w:rPr>
          <w:rFonts w:ascii="Arial" w:hAnsi="Arial" w:cs="Arial"/>
          <w:color w:val="auto"/>
        </w:rPr>
        <w:t xml:space="preserve"> until: </w:t>
      </w:r>
    </w:p>
    <w:p w:rsidR="006821AE" w:rsidRPr="0088596E" w:rsidRDefault="006821AE" w:rsidP="006821AE">
      <w:pPr>
        <w:pStyle w:val="Default"/>
        <w:numPr>
          <w:ilvl w:val="2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 xml:space="preserve">Patient </w:t>
      </w:r>
      <w:r w:rsidR="00F602D4" w:rsidRPr="0088596E">
        <w:rPr>
          <w:rFonts w:ascii="Arial" w:hAnsi="Arial" w:cs="Arial"/>
          <w:color w:val="auto"/>
        </w:rPr>
        <w:t>revives</w:t>
      </w:r>
      <w:r w:rsidRPr="0088596E">
        <w:rPr>
          <w:rFonts w:ascii="Arial" w:hAnsi="Arial" w:cs="Arial"/>
          <w:color w:val="auto"/>
        </w:rPr>
        <w:t>,</w:t>
      </w:r>
    </w:p>
    <w:p w:rsidR="00F602D4" w:rsidRPr="0088596E" w:rsidRDefault="00F602D4" w:rsidP="00716191">
      <w:pPr>
        <w:pStyle w:val="Default"/>
        <w:numPr>
          <w:ilvl w:val="2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>Staff becomes too exhausted to continue,</w:t>
      </w:r>
    </w:p>
    <w:p w:rsidR="00F602D4" w:rsidRPr="0088596E" w:rsidRDefault="00F602D4" w:rsidP="00716191">
      <w:pPr>
        <w:pStyle w:val="Default"/>
        <w:numPr>
          <w:ilvl w:val="2"/>
          <w:numId w:val="8"/>
        </w:numPr>
        <w:rPr>
          <w:rFonts w:ascii="Arial" w:hAnsi="Arial" w:cs="Arial"/>
          <w:color w:val="auto"/>
        </w:rPr>
      </w:pPr>
      <w:r w:rsidRPr="0088596E">
        <w:rPr>
          <w:rFonts w:ascii="Arial" w:hAnsi="Arial" w:cs="Arial"/>
          <w:color w:val="auto"/>
        </w:rPr>
        <w:t>Help arrives</w:t>
      </w:r>
    </w:p>
    <w:p w:rsidR="00F602D4" w:rsidRPr="00F602D4" w:rsidRDefault="00F602D4" w:rsidP="00F602D4">
      <w:pPr>
        <w:pStyle w:val="Default"/>
        <w:rPr>
          <w:rFonts w:ascii="Arial" w:hAnsi="Arial" w:cs="Arial"/>
          <w:strike/>
          <w:color w:val="FF0000"/>
        </w:rPr>
      </w:pPr>
    </w:p>
    <w:sectPr w:rsidR="00F602D4" w:rsidRPr="00F602D4" w:rsidSect="00885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D17" w:rsidRDefault="00186D17">
      <w:r>
        <w:separator/>
      </w:r>
    </w:p>
  </w:endnote>
  <w:endnote w:type="continuationSeparator" w:id="0">
    <w:p w:rsidR="00186D17" w:rsidRDefault="00186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91" w:rsidRDefault="00C7681E" w:rsidP="00437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16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191" w:rsidRDefault="00716191" w:rsidP="00755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191" w:rsidRDefault="00716191" w:rsidP="004370DF">
    <w:pPr>
      <w:pStyle w:val="Footer"/>
      <w:framePr w:wrap="around" w:vAnchor="text" w:hAnchor="margin" w:xAlign="right" w:y="1"/>
      <w:rPr>
        <w:rStyle w:val="PageNumber"/>
      </w:rPr>
    </w:pPr>
  </w:p>
  <w:p w:rsidR="00716191" w:rsidRPr="0088596E" w:rsidRDefault="00E61F87" w:rsidP="0088596E">
    <w:pPr>
      <w:pStyle w:val="Footer"/>
      <w:ind w:right="360"/>
      <w:rPr>
        <w:rFonts w:ascii="Arial" w:hAnsi="Arial" w:cs="Arial"/>
        <w:sz w:val="16"/>
      </w:rPr>
    </w:pPr>
    <w:r>
      <w:rPr>
        <w:sz w:val="16"/>
        <w:szCs w:val="16"/>
      </w:rPr>
      <w:t>G:\Policies and Procedures\Administrative Policy and Procedure Manual\Provision of Care, Treatment &amp; Service\Cardiopulmonary Resuscitation (CPR). doc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87" w:rsidRDefault="00E61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D17" w:rsidRDefault="00186D17">
      <w:r>
        <w:separator/>
      </w:r>
    </w:p>
  </w:footnote>
  <w:footnote w:type="continuationSeparator" w:id="0">
    <w:p w:rsidR="00186D17" w:rsidRDefault="00186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87" w:rsidRDefault="00E61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87" w:rsidRDefault="00E61F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F87" w:rsidRDefault="00E61F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8376434"/>
    <w:multiLevelType w:val="hybridMultilevel"/>
    <w:tmpl w:val="E8F217C0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11F91ED5"/>
    <w:multiLevelType w:val="multilevel"/>
    <w:tmpl w:val="F6C4556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Century Gothic" w:hAnsi="LinePrinter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CG Times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Bookman Old Style" w:hAnsi="CG Omega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BEA09D5"/>
    <w:multiLevelType w:val="hybridMultilevel"/>
    <w:tmpl w:val="D2EC4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853EC"/>
    <w:multiLevelType w:val="hybridMultilevel"/>
    <w:tmpl w:val="BC9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7B1445"/>
    <w:multiLevelType w:val="hybridMultilevel"/>
    <w:tmpl w:val="41BC24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682F22"/>
    <w:multiLevelType w:val="hybridMultilevel"/>
    <w:tmpl w:val="4684C6EC"/>
    <w:lvl w:ilvl="0" w:tplc="24B0DB3C">
      <w:start w:val="2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6806089"/>
    <w:multiLevelType w:val="hybridMultilevel"/>
    <w:tmpl w:val="4044D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4A6E"/>
    <w:rsid w:val="0004551E"/>
    <w:rsid w:val="00053790"/>
    <w:rsid w:val="00090A68"/>
    <w:rsid w:val="000B004E"/>
    <w:rsid w:val="000B3BB7"/>
    <w:rsid w:val="000B6BC1"/>
    <w:rsid w:val="000D6A29"/>
    <w:rsid w:val="000E1126"/>
    <w:rsid w:val="000E15CA"/>
    <w:rsid w:val="00186D17"/>
    <w:rsid w:val="00192DCA"/>
    <w:rsid w:val="001E323C"/>
    <w:rsid w:val="002073E2"/>
    <w:rsid w:val="0026646B"/>
    <w:rsid w:val="00266B25"/>
    <w:rsid w:val="00271AC8"/>
    <w:rsid w:val="002B3523"/>
    <w:rsid w:val="00302CF7"/>
    <w:rsid w:val="0030382F"/>
    <w:rsid w:val="00357521"/>
    <w:rsid w:val="003622EE"/>
    <w:rsid w:val="003B5938"/>
    <w:rsid w:val="003E0976"/>
    <w:rsid w:val="0040681F"/>
    <w:rsid w:val="004370DF"/>
    <w:rsid w:val="00440AA0"/>
    <w:rsid w:val="00446155"/>
    <w:rsid w:val="00486A4F"/>
    <w:rsid w:val="004876FE"/>
    <w:rsid w:val="004967DC"/>
    <w:rsid w:val="004C55DB"/>
    <w:rsid w:val="0050135B"/>
    <w:rsid w:val="00512945"/>
    <w:rsid w:val="00526B3B"/>
    <w:rsid w:val="005532C6"/>
    <w:rsid w:val="005538DF"/>
    <w:rsid w:val="0057100D"/>
    <w:rsid w:val="00596453"/>
    <w:rsid w:val="005C382F"/>
    <w:rsid w:val="005D5030"/>
    <w:rsid w:val="00653C0E"/>
    <w:rsid w:val="00672BDA"/>
    <w:rsid w:val="006821AE"/>
    <w:rsid w:val="0069294B"/>
    <w:rsid w:val="00692CCE"/>
    <w:rsid w:val="006C6A53"/>
    <w:rsid w:val="00703087"/>
    <w:rsid w:val="00716191"/>
    <w:rsid w:val="00733539"/>
    <w:rsid w:val="007555C8"/>
    <w:rsid w:val="007674BE"/>
    <w:rsid w:val="00785DE0"/>
    <w:rsid w:val="00793AAB"/>
    <w:rsid w:val="007963B7"/>
    <w:rsid w:val="00847278"/>
    <w:rsid w:val="00855501"/>
    <w:rsid w:val="008702E3"/>
    <w:rsid w:val="0088087B"/>
    <w:rsid w:val="0088596E"/>
    <w:rsid w:val="008A4E36"/>
    <w:rsid w:val="008B2765"/>
    <w:rsid w:val="008B7EC9"/>
    <w:rsid w:val="009250A4"/>
    <w:rsid w:val="00934994"/>
    <w:rsid w:val="00956952"/>
    <w:rsid w:val="00957749"/>
    <w:rsid w:val="009577B8"/>
    <w:rsid w:val="00973C01"/>
    <w:rsid w:val="009B5AC8"/>
    <w:rsid w:val="009C0A4E"/>
    <w:rsid w:val="009C208B"/>
    <w:rsid w:val="009D7FFE"/>
    <w:rsid w:val="009E059D"/>
    <w:rsid w:val="009E308F"/>
    <w:rsid w:val="009E7B60"/>
    <w:rsid w:val="00A41123"/>
    <w:rsid w:val="00A649F6"/>
    <w:rsid w:val="00A83C6A"/>
    <w:rsid w:val="00A905E4"/>
    <w:rsid w:val="00AB2A90"/>
    <w:rsid w:val="00B26C74"/>
    <w:rsid w:val="00B4750F"/>
    <w:rsid w:val="00B767C5"/>
    <w:rsid w:val="00BA59DF"/>
    <w:rsid w:val="00BD20A5"/>
    <w:rsid w:val="00C040AE"/>
    <w:rsid w:val="00C23AE1"/>
    <w:rsid w:val="00C25CEE"/>
    <w:rsid w:val="00C42CF4"/>
    <w:rsid w:val="00C4736E"/>
    <w:rsid w:val="00C75473"/>
    <w:rsid w:val="00C7681E"/>
    <w:rsid w:val="00CC760A"/>
    <w:rsid w:val="00D029C8"/>
    <w:rsid w:val="00D144D6"/>
    <w:rsid w:val="00D2640B"/>
    <w:rsid w:val="00D5265D"/>
    <w:rsid w:val="00DB64C0"/>
    <w:rsid w:val="00DE606E"/>
    <w:rsid w:val="00DF5F2E"/>
    <w:rsid w:val="00E22090"/>
    <w:rsid w:val="00E33F15"/>
    <w:rsid w:val="00E44A6E"/>
    <w:rsid w:val="00E61F87"/>
    <w:rsid w:val="00E77ED4"/>
    <w:rsid w:val="00E93185"/>
    <w:rsid w:val="00EA2372"/>
    <w:rsid w:val="00F25C67"/>
    <w:rsid w:val="00F325D8"/>
    <w:rsid w:val="00F602D4"/>
    <w:rsid w:val="00F75AD7"/>
    <w:rsid w:val="00F81F37"/>
    <w:rsid w:val="00FC0CB0"/>
    <w:rsid w:val="00FC4254"/>
    <w:rsid w:val="00FD21A9"/>
    <w:rsid w:val="00FF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73E2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073E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073E2"/>
    <w:pPr>
      <w:keepNext/>
      <w:widowControl/>
      <w:spacing w:after="120"/>
      <w:jc w:val="both"/>
      <w:outlineLvl w:val="1"/>
    </w:pPr>
    <w:rPr>
      <w:rFonts w:ascii="Arial Rounded MT Bold" w:hAnsi="Arial Rounded MT Bold"/>
      <w:snapToGrid/>
      <w:szCs w:val="24"/>
      <w:u w:val="single"/>
    </w:rPr>
  </w:style>
  <w:style w:type="paragraph" w:styleId="Heading3">
    <w:name w:val="heading 3"/>
    <w:basedOn w:val="Normal"/>
    <w:next w:val="Normal"/>
    <w:qFormat/>
    <w:rsid w:val="002073E2"/>
    <w:pPr>
      <w:keepNext/>
      <w:spacing w:before="40" w:after="40"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2073E2"/>
    <w:pPr>
      <w:keepNext/>
      <w:spacing w:before="40" w:after="40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2073E2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2073E2"/>
    <w:pPr>
      <w:keepNext/>
      <w:spacing w:before="40" w:after="40"/>
      <w:outlineLvl w:val="5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073E2"/>
  </w:style>
  <w:style w:type="paragraph" w:customStyle="1" w:styleId="Level1">
    <w:name w:val="Level 1"/>
    <w:basedOn w:val="Normal"/>
    <w:rsid w:val="002073E2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2073E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073E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73E2"/>
  </w:style>
  <w:style w:type="paragraph" w:customStyle="1" w:styleId="PPTitle">
    <w:name w:val="P&amp;PTitle"/>
    <w:basedOn w:val="Heading1"/>
    <w:rsid w:val="002073E2"/>
    <w:pPr>
      <w:widowControl/>
      <w:tabs>
        <w:tab w:val="left" w:pos="-1080"/>
        <w:tab w:val="left" w:pos="-720"/>
        <w:tab w:val="left" w:pos="-90"/>
        <w:tab w:val="left" w:pos="720"/>
      </w:tabs>
      <w:spacing w:before="0" w:after="0"/>
      <w:jc w:val="center"/>
    </w:pPr>
    <w:rPr>
      <w:rFonts w:ascii="Verdana" w:hAnsi="Verdana"/>
      <w:kern w:val="0"/>
    </w:rPr>
  </w:style>
  <w:style w:type="paragraph" w:customStyle="1" w:styleId="HeaderSection">
    <w:name w:val="HeaderSection"/>
    <w:basedOn w:val="Normal"/>
    <w:autoRedefine/>
    <w:rsid w:val="002073E2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">
    <w:name w:val="Body Text"/>
    <w:basedOn w:val="Normal"/>
    <w:rsid w:val="002073E2"/>
    <w:pPr>
      <w:spacing w:before="40" w:after="4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2073E2"/>
    <w:pPr>
      <w:widowControl/>
      <w:spacing w:before="100" w:beforeAutospacing="1" w:after="100" w:afterAutospacing="1"/>
    </w:pPr>
    <w:rPr>
      <w:snapToGrid/>
      <w:szCs w:val="24"/>
    </w:rPr>
  </w:style>
  <w:style w:type="paragraph" w:styleId="DocumentMap">
    <w:name w:val="Document Map"/>
    <w:basedOn w:val="Normal"/>
    <w:semiHidden/>
    <w:rsid w:val="00E44A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2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CEE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6821A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C208B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67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Kathy Piette</dc:creator>
  <cp:lastModifiedBy>cwilliams</cp:lastModifiedBy>
  <cp:revision>2</cp:revision>
  <cp:lastPrinted>2013-05-30T14:59:00Z</cp:lastPrinted>
  <dcterms:created xsi:type="dcterms:W3CDTF">2018-01-09T16:14:00Z</dcterms:created>
  <dcterms:modified xsi:type="dcterms:W3CDTF">2018-01-09T16:14:00Z</dcterms:modified>
</cp:coreProperties>
</file>