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3622"/>
        <w:gridCol w:w="2511"/>
        <w:gridCol w:w="4883"/>
      </w:tblGrid>
      <w:tr w:rsidR="003957CA" w:rsidRPr="003957CA" w:rsidTr="003957CA">
        <w:trPr>
          <w:cantSplit/>
          <w:trHeight w:val="265"/>
        </w:trPr>
        <w:tc>
          <w:tcPr>
            <w:tcW w:w="4320" w:type="dxa"/>
            <w:vMerge w:val="restart"/>
            <w:tcBorders>
              <w:top w:val="single" w:sz="4" w:space="0" w:color="auto"/>
              <w:left w:val="single" w:sz="4" w:space="0" w:color="auto"/>
              <w:right w:val="single" w:sz="4" w:space="0" w:color="auto"/>
            </w:tcBorders>
          </w:tcPr>
          <w:p w:rsidR="003957CA" w:rsidRPr="003957CA" w:rsidRDefault="00EC1F1E" w:rsidP="003957CA">
            <w:pPr>
              <w:widowControl w:val="0"/>
              <w:snapToGrid w:val="0"/>
              <w:rPr>
                <w:rFonts w:cs="Arial"/>
                <w:b/>
                <w:sz w:val="36"/>
                <w:szCs w:val="20"/>
              </w:rPr>
            </w:pPr>
            <w:r>
              <w:rPr>
                <w:rFonts w:cs="Arial"/>
                <w:b/>
                <w:spacing w:val="-1"/>
                <w:sz w:val="36"/>
                <w:szCs w:val="28"/>
              </w:rPr>
              <w:t xml:space="preserve">Personal </w:t>
            </w:r>
            <w:r w:rsidR="003957CA" w:rsidRPr="003957CA">
              <w:rPr>
                <w:rFonts w:cs="Arial"/>
                <w:b/>
                <w:spacing w:val="-1"/>
                <w:sz w:val="36"/>
                <w:szCs w:val="28"/>
              </w:rPr>
              <w:t>Leave of Absence</w:t>
            </w:r>
            <w:r w:rsidR="003957CA" w:rsidRPr="003957CA">
              <w:rPr>
                <w:rFonts w:cs="Arial"/>
                <w:b/>
                <w:sz w:val="36"/>
              </w:rPr>
              <w:t> </w:t>
            </w:r>
          </w:p>
        </w:tc>
        <w:tc>
          <w:tcPr>
            <w:tcW w:w="2880" w:type="dxa"/>
            <w:tcBorders>
              <w:top w:val="single" w:sz="4" w:space="0" w:color="auto"/>
              <w:left w:val="single" w:sz="4" w:space="0" w:color="auto"/>
              <w:bottom w:val="single" w:sz="4" w:space="0" w:color="auto"/>
              <w:right w:val="nil"/>
            </w:tcBorders>
          </w:tcPr>
          <w:p w:rsidR="003957CA" w:rsidRPr="003957CA" w:rsidRDefault="003957CA" w:rsidP="003957CA">
            <w:pPr>
              <w:widowControl w:val="0"/>
              <w:snapToGrid w:val="0"/>
              <w:rPr>
                <w:rFonts w:cs="Arial"/>
              </w:rPr>
            </w:pPr>
            <w:r w:rsidRPr="003957CA">
              <w:rPr>
                <w:rFonts w:cs="Arial"/>
                <w:b/>
                <w:bCs/>
              </w:rPr>
              <w:t>Last Revision:</w:t>
            </w:r>
          </w:p>
        </w:tc>
        <w:tc>
          <w:tcPr>
            <w:tcW w:w="5682" w:type="dxa"/>
            <w:tcBorders>
              <w:top w:val="single" w:sz="4" w:space="0" w:color="auto"/>
              <w:left w:val="nil"/>
              <w:bottom w:val="single" w:sz="4" w:space="0" w:color="auto"/>
              <w:right w:val="single" w:sz="4" w:space="0" w:color="auto"/>
            </w:tcBorders>
          </w:tcPr>
          <w:p w:rsidR="003957CA" w:rsidRPr="003957CA" w:rsidRDefault="00EC1F1E" w:rsidP="003957CA">
            <w:pPr>
              <w:widowControl w:val="0"/>
              <w:snapToGrid w:val="0"/>
              <w:rPr>
                <w:rFonts w:cs="Arial"/>
              </w:rPr>
            </w:pPr>
            <w:r>
              <w:rPr>
                <w:rFonts w:cs="Arial"/>
              </w:rPr>
              <w:t>September 2016</w:t>
            </w:r>
          </w:p>
        </w:tc>
      </w:tr>
      <w:tr w:rsidR="003957CA" w:rsidRPr="003957CA" w:rsidTr="003957CA">
        <w:trPr>
          <w:cantSplit/>
          <w:trHeight w:val="265"/>
        </w:trPr>
        <w:tc>
          <w:tcPr>
            <w:tcW w:w="4320" w:type="dxa"/>
            <w:vMerge/>
            <w:tcBorders>
              <w:top w:val="single" w:sz="4" w:space="0" w:color="auto"/>
              <w:left w:val="single" w:sz="4" w:space="0" w:color="auto"/>
              <w:right w:val="single" w:sz="4" w:space="0" w:color="auto"/>
            </w:tcBorders>
          </w:tcPr>
          <w:p w:rsidR="003957CA" w:rsidRPr="003957CA" w:rsidRDefault="003957CA" w:rsidP="003957CA">
            <w:pPr>
              <w:widowControl w:val="0"/>
              <w:snapToGrid w:val="0"/>
              <w:rPr>
                <w:rFonts w:cs="Arial"/>
                <w:b/>
                <w:spacing w:val="-1"/>
                <w:sz w:val="36"/>
                <w:szCs w:val="28"/>
              </w:rPr>
            </w:pPr>
          </w:p>
        </w:tc>
        <w:tc>
          <w:tcPr>
            <w:tcW w:w="2880" w:type="dxa"/>
            <w:tcBorders>
              <w:top w:val="single" w:sz="4" w:space="0" w:color="auto"/>
              <w:left w:val="single" w:sz="4" w:space="0" w:color="auto"/>
              <w:bottom w:val="single" w:sz="4" w:space="0" w:color="auto"/>
              <w:right w:val="nil"/>
            </w:tcBorders>
          </w:tcPr>
          <w:p w:rsidR="003957CA" w:rsidRPr="003957CA" w:rsidRDefault="003957CA" w:rsidP="003957CA">
            <w:pPr>
              <w:widowControl w:val="0"/>
              <w:snapToGrid w:val="0"/>
              <w:rPr>
                <w:rFonts w:cs="Arial"/>
                <w:b/>
                <w:bCs/>
              </w:rPr>
            </w:pPr>
            <w:r>
              <w:rPr>
                <w:rFonts w:cs="Arial"/>
                <w:b/>
                <w:bCs/>
              </w:rPr>
              <w:t>Last Reviewed:</w:t>
            </w:r>
          </w:p>
        </w:tc>
        <w:tc>
          <w:tcPr>
            <w:tcW w:w="5682" w:type="dxa"/>
            <w:tcBorders>
              <w:top w:val="single" w:sz="4" w:space="0" w:color="auto"/>
              <w:left w:val="nil"/>
              <w:bottom w:val="single" w:sz="4" w:space="0" w:color="auto"/>
              <w:right w:val="single" w:sz="4" w:space="0" w:color="auto"/>
            </w:tcBorders>
          </w:tcPr>
          <w:p w:rsidR="003957CA" w:rsidRPr="003957CA" w:rsidRDefault="00EC1F1E" w:rsidP="003957CA">
            <w:pPr>
              <w:widowControl w:val="0"/>
              <w:snapToGrid w:val="0"/>
              <w:rPr>
                <w:rFonts w:cs="Arial"/>
              </w:rPr>
            </w:pPr>
            <w:r>
              <w:rPr>
                <w:rFonts w:cs="Arial"/>
              </w:rPr>
              <w:t>September 2016</w:t>
            </w:r>
          </w:p>
        </w:tc>
      </w:tr>
      <w:tr w:rsidR="003957CA" w:rsidRPr="003957CA" w:rsidTr="003957CA">
        <w:trPr>
          <w:cantSplit/>
          <w:trHeight w:val="863"/>
        </w:trPr>
        <w:tc>
          <w:tcPr>
            <w:tcW w:w="4320" w:type="dxa"/>
            <w:vMerge/>
            <w:tcBorders>
              <w:left w:val="single" w:sz="4" w:space="0" w:color="auto"/>
              <w:right w:val="single" w:sz="4" w:space="0" w:color="auto"/>
            </w:tcBorders>
            <w:vAlign w:val="center"/>
          </w:tcPr>
          <w:p w:rsidR="003957CA" w:rsidRPr="003957CA" w:rsidRDefault="003957CA" w:rsidP="003957CA">
            <w:pPr>
              <w:rPr>
                <w:rFonts w:cs="Arial"/>
                <w:b/>
                <w:sz w:val="12"/>
              </w:rPr>
            </w:pPr>
          </w:p>
        </w:tc>
        <w:tc>
          <w:tcPr>
            <w:tcW w:w="2880" w:type="dxa"/>
            <w:tcBorders>
              <w:top w:val="single" w:sz="4" w:space="0" w:color="auto"/>
              <w:left w:val="single" w:sz="4" w:space="0" w:color="auto"/>
              <w:bottom w:val="single" w:sz="4" w:space="0" w:color="auto"/>
              <w:right w:val="nil"/>
            </w:tcBorders>
          </w:tcPr>
          <w:p w:rsidR="003957CA" w:rsidRPr="003957CA" w:rsidRDefault="003957CA" w:rsidP="003957CA">
            <w:pPr>
              <w:widowControl w:val="0"/>
              <w:snapToGrid w:val="0"/>
              <w:rPr>
                <w:rFonts w:cs="Arial"/>
              </w:rPr>
            </w:pPr>
            <w:r w:rsidRPr="003957CA">
              <w:rPr>
                <w:rFonts w:cs="Arial"/>
                <w:b/>
                <w:bCs/>
              </w:rPr>
              <w:t xml:space="preserve">Applies to the following THA Group of companies: </w:t>
            </w:r>
          </w:p>
        </w:tc>
        <w:tc>
          <w:tcPr>
            <w:tcW w:w="5682" w:type="dxa"/>
            <w:tcBorders>
              <w:top w:val="single" w:sz="4" w:space="0" w:color="auto"/>
              <w:left w:val="nil"/>
              <w:bottom w:val="single" w:sz="4" w:space="0" w:color="auto"/>
              <w:right w:val="single" w:sz="4" w:space="0" w:color="auto"/>
            </w:tcBorders>
          </w:tcPr>
          <w:p w:rsidR="003957CA" w:rsidRPr="003957CA" w:rsidRDefault="003957CA" w:rsidP="003957CA">
            <w:pPr>
              <w:widowControl w:val="0"/>
              <w:numPr>
                <w:ilvl w:val="0"/>
                <w:numId w:val="2"/>
              </w:numPr>
              <w:snapToGrid w:val="0"/>
              <w:rPr>
                <w:rFonts w:cs="Arial"/>
                <w:bCs/>
              </w:rPr>
            </w:pPr>
            <w:r w:rsidRPr="003957CA">
              <w:rPr>
                <w:rFonts w:cs="Arial"/>
                <w:bCs/>
              </w:rPr>
              <w:t>Island Health Care</w:t>
            </w:r>
          </w:p>
          <w:p w:rsidR="003957CA" w:rsidRPr="003957CA" w:rsidRDefault="003957CA" w:rsidP="003957CA">
            <w:pPr>
              <w:widowControl w:val="0"/>
              <w:numPr>
                <w:ilvl w:val="0"/>
                <w:numId w:val="2"/>
              </w:numPr>
              <w:snapToGrid w:val="0"/>
              <w:rPr>
                <w:rFonts w:cs="Arial"/>
                <w:bCs/>
              </w:rPr>
            </w:pPr>
            <w:r w:rsidRPr="003957CA">
              <w:rPr>
                <w:rFonts w:cs="Arial"/>
                <w:bCs/>
              </w:rPr>
              <w:t>Island Hospice</w:t>
            </w:r>
          </w:p>
          <w:p w:rsidR="003957CA" w:rsidRPr="003957CA" w:rsidRDefault="003957CA" w:rsidP="003957CA">
            <w:pPr>
              <w:widowControl w:val="0"/>
              <w:numPr>
                <w:ilvl w:val="0"/>
                <w:numId w:val="2"/>
              </w:numPr>
              <w:snapToGrid w:val="0"/>
              <w:rPr>
                <w:rFonts w:cs="Arial"/>
                <w:bCs/>
              </w:rPr>
            </w:pPr>
            <w:r w:rsidRPr="003957CA">
              <w:rPr>
                <w:rFonts w:cs="Arial"/>
                <w:bCs/>
              </w:rPr>
              <w:t>Independent Life at Home</w:t>
            </w:r>
          </w:p>
          <w:p w:rsidR="003957CA" w:rsidRPr="003957CA" w:rsidRDefault="003957CA" w:rsidP="003957CA">
            <w:pPr>
              <w:widowControl w:val="0"/>
              <w:numPr>
                <w:ilvl w:val="0"/>
                <w:numId w:val="2"/>
              </w:numPr>
              <w:snapToGrid w:val="0"/>
              <w:rPr>
                <w:rFonts w:cs="Arial"/>
                <w:bCs/>
              </w:rPr>
            </w:pPr>
            <w:r w:rsidRPr="003957CA">
              <w:rPr>
                <w:rFonts w:cs="Arial"/>
                <w:bCs/>
              </w:rPr>
              <w:t>Ideal Aging</w:t>
            </w:r>
          </w:p>
          <w:p w:rsidR="003957CA" w:rsidRPr="003957CA" w:rsidRDefault="003957CA" w:rsidP="003957CA">
            <w:pPr>
              <w:widowControl w:val="0"/>
              <w:numPr>
                <w:ilvl w:val="0"/>
                <w:numId w:val="2"/>
              </w:numPr>
              <w:snapToGrid w:val="0"/>
              <w:rPr>
                <w:rFonts w:cs="Arial"/>
                <w:bCs/>
              </w:rPr>
            </w:pPr>
            <w:r w:rsidRPr="003957CA">
              <w:rPr>
                <w:rFonts w:cs="Arial"/>
                <w:bCs/>
              </w:rPr>
              <w:t>THA Services</w:t>
            </w:r>
          </w:p>
          <w:p w:rsidR="003957CA" w:rsidRPr="003957CA" w:rsidRDefault="003957CA" w:rsidP="003957CA">
            <w:pPr>
              <w:widowControl w:val="0"/>
              <w:numPr>
                <w:ilvl w:val="0"/>
                <w:numId w:val="2"/>
              </w:numPr>
              <w:snapToGrid w:val="0"/>
              <w:rPr>
                <w:rFonts w:cs="Arial"/>
                <w:bCs/>
              </w:rPr>
            </w:pPr>
            <w:r w:rsidRPr="003957CA">
              <w:rPr>
                <w:rFonts w:cs="Arial"/>
                <w:bCs/>
              </w:rPr>
              <w:t>RightHealth</w:t>
            </w:r>
            <w:r w:rsidRPr="003957CA">
              <w:rPr>
                <w:rFonts w:cs="Arial"/>
                <w:bCs/>
                <w:vertAlign w:val="superscript"/>
              </w:rPr>
              <w:t>®</w:t>
            </w:r>
          </w:p>
        </w:tc>
      </w:tr>
      <w:tr w:rsidR="003957CA" w:rsidRPr="003957CA" w:rsidTr="003957CA">
        <w:trPr>
          <w:cantSplit/>
          <w:trHeight w:val="863"/>
        </w:trPr>
        <w:tc>
          <w:tcPr>
            <w:tcW w:w="4320" w:type="dxa"/>
            <w:vMerge/>
            <w:tcBorders>
              <w:left w:val="single" w:sz="4" w:space="0" w:color="auto"/>
              <w:bottom w:val="single" w:sz="4" w:space="0" w:color="auto"/>
              <w:right w:val="single" w:sz="4" w:space="0" w:color="auto"/>
            </w:tcBorders>
            <w:vAlign w:val="center"/>
          </w:tcPr>
          <w:p w:rsidR="003957CA" w:rsidRPr="003957CA" w:rsidRDefault="003957CA" w:rsidP="003957CA">
            <w:pPr>
              <w:rPr>
                <w:rFonts w:cs="Arial"/>
                <w:b/>
                <w:sz w:val="12"/>
              </w:rPr>
            </w:pPr>
          </w:p>
        </w:tc>
        <w:tc>
          <w:tcPr>
            <w:tcW w:w="2880" w:type="dxa"/>
            <w:tcBorders>
              <w:top w:val="single" w:sz="4" w:space="0" w:color="auto"/>
              <w:left w:val="single" w:sz="4" w:space="0" w:color="auto"/>
              <w:bottom w:val="single" w:sz="4" w:space="0" w:color="auto"/>
              <w:right w:val="nil"/>
            </w:tcBorders>
          </w:tcPr>
          <w:p w:rsidR="003957CA" w:rsidRPr="003957CA" w:rsidRDefault="003957CA" w:rsidP="003957CA">
            <w:pPr>
              <w:rPr>
                <w:rFonts w:cs="Arial"/>
                <w:b/>
                <w:bCs/>
              </w:rPr>
            </w:pPr>
            <w:r w:rsidRPr="003957CA">
              <w:rPr>
                <w:rFonts w:cs="Arial"/>
                <w:b/>
                <w:bCs/>
              </w:rPr>
              <w:t>Included in the following THA Manuals:</w:t>
            </w:r>
          </w:p>
        </w:tc>
        <w:tc>
          <w:tcPr>
            <w:tcW w:w="5682" w:type="dxa"/>
            <w:tcBorders>
              <w:top w:val="single" w:sz="4" w:space="0" w:color="auto"/>
              <w:left w:val="nil"/>
              <w:bottom w:val="single" w:sz="4" w:space="0" w:color="auto"/>
              <w:right w:val="single" w:sz="4" w:space="0" w:color="auto"/>
            </w:tcBorders>
          </w:tcPr>
          <w:p w:rsidR="003957CA" w:rsidRPr="003957CA" w:rsidRDefault="003957CA" w:rsidP="003957CA">
            <w:pPr>
              <w:widowControl w:val="0"/>
              <w:numPr>
                <w:ilvl w:val="0"/>
                <w:numId w:val="2"/>
              </w:numPr>
              <w:snapToGrid w:val="0"/>
              <w:rPr>
                <w:rFonts w:cs="Arial"/>
                <w:bCs/>
              </w:rPr>
            </w:pPr>
            <w:r w:rsidRPr="003957CA">
              <w:rPr>
                <w:rFonts w:cs="Arial"/>
                <w:bCs/>
              </w:rPr>
              <w:t xml:space="preserve">Administrative Policies &amp; Procedures </w:t>
            </w:r>
          </w:p>
          <w:p w:rsidR="003957CA" w:rsidRPr="003957CA" w:rsidRDefault="003957CA" w:rsidP="003957CA">
            <w:pPr>
              <w:widowControl w:val="0"/>
              <w:snapToGrid w:val="0"/>
              <w:ind w:left="360"/>
              <w:rPr>
                <w:rFonts w:cs="Arial"/>
                <w:bCs/>
              </w:rPr>
            </w:pPr>
            <w:r w:rsidRPr="003957CA">
              <w:rPr>
                <w:rFonts w:cs="Arial"/>
                <w:bCs/>
              </w:rPr>
              <w:t xml:space="preserve"> V – Talent Management</w:t>
            </w:r>
          </w:p>
          <w:p w:rsidR="003957CA" w:rsidRPr="003957CA" w:rsidRDefault="003957CA" w:rsidP="003957CA">
            <w:pPr>
              <w:widowControl w:val="0"/>
              <w:snapToGrid w:val="0"/>
              <w:ind w:left="720"/>
              <w:rPr>
                <w:rFonts w:cs="Arial"/>
                <w:bCs/>
              </w:rPr>
            </w:pPr>
          </w:p>
        </w:tc>
      </w:tr>
    </w:tbl>
    <w:p w:rsidR="00C36335" w:rsidRPr="003957CA" w:rsidRDefault="00C36335" w:rsidP="003957CA">
      <w:pPr>
        <w:pStyle w:val="Heading2"/>
        <w:rPr>
          <w:rFonts w:ascii="Arial" w:hAnsi="Arial" w:cs="Arial"/>
          <w:b w:val="0"/>
          <w:bCs/>
          <w:sz w:val="24"/>
          <w:szCs w:val="24"/>
        </w:rPr>
      </w:pPr>
      <w:r w:rsidRPr="003957CA">
        <w:rPr>
          <w:rFonts w:ascii="Arial" w:hAnsi="Arial" w:cs="Arial"/>
          <w:b w:val="0"/>
          <w:bCs/>
          <w:sz w:val="24"/>
          <w:szCs w:val="24"/>
        </w:rPr>
        <w:t> </w:t>
      </w:r>
    </w:p>
    <w:p w:rsidR="00C36335" w:rsidRDefault="00C36335" w:rsidP="003957CA">
      <w:pPr>
        <w:pStyle w:val="Heading2"/>
        <w:jc w:val="left"/>
        <w:rPr>
          <w:rFonts w:ascii="Arial" w:hAnsi="Arial" w:cs="Arial"/>
          <w:sz w:val="24"/>
          <w:szCs w:val="24"/>
          <w:u w:val="single"/>
        </w:rPr>
      </w:pPr>
      <w:r w:rsidRPr="003957CA">
        <w:rPr>
          <w:rFonts w:ascii="Arial" w:hAnsi="Arial" w:cs="Arial"/>
          <w:sz w:val="24"/>
          <w:szCs w:val="24"/>
          <w:u w:val="single"/>
        </w:rPr>
        <w:t>POLICY</w:t>
      </w:r>
    </w:p>
    <w:p w:rsidR="003957CA" w:rsidRPr="003957CA" w:rsidRDefault="003957CA" w:rsidP="003957CA"/>
    <w:p w:rsidR="00C36335" w:rsidRDefault="00265A8A" w:rsidP="003957CA">
      <w:pPr>
        <w:snapToGrid w:val="0"/>
        <w:jc w:val="both"/>
        <w:rPr>
          <w:rFonts w:cs="Arial"/>
        </w:rPr>
      </w:pPr>
      <w:r>
        <w:t>The purpose of this policy is t</w:t>
      </w:r>
      <w:r w:rsidR="00EC1F1E">
        <w:t xml:space="preserve">o provide </w:t>
      </w:r>
      <w:r w:rsidR="0088558A">
        <w:t>f</w:t>
      </w:r>
      <w:r w:rsidR="00EC1F1E">
        <w:t>ull-time</w:t>
      </w:r>
      <w:r w:rsidR="0088558A">
        <w:t xml:space="preserve"> </w:t>
      </w:r>
      <w:r w:rsidR="00EC1F1E">
        <w:t>staff with unpaid leave of absence</w:t>
      </w:r>
      <w:r w:rsidR="0088558A">
        <w:t>s</w:t>
      </w:r>
      <w:r w:rsidR="00EC1F1E">
        <w:t xml:space="preserve"> when justified by compelling personal circumstances.</w:t>
      </w:r>
      <w:r w:rsidR="00EC1F1E" w:rsidRPr="003957CA" w:rsidDel="00EC1F1E">
        <w:rPr>
          <w:rFonts w:cs="Arial"/>
        </w:rPr>
        <w:t xml:space="preserve"> </w:t>
      </w:r>
      <w:r w:rsidR="00C36335" w:rsidRPr="003957CA">
        <w:rPr>
          <w:rFonts w:cs="Arial"/>
        </w:rPr>
        <w:t> </w:t>
      </w:r>
    </w:p>
    <w:p w:rsidR="00265A8A" w:rsidRPr="003957CA" w:rsidRDefault="00265A8A" w:rsidP="003957CA">
      <w:pPr>
        <w:snapToGrid w:val="0"/>
        <w:jc w:val="both"/>
        <w:rPr>
          <w:rFonts w:cs="Arial"/>
        </w:rPr>
      </w:pPr>
    </w:p>
    <w:p w:rsidR="00C36335" w:rsidRDefault="00C36335" w:rsidP="003957CA">
      <w:pPr>
        <w:snapToGrid w:val="0"/>
        <w:jc w:val="both"/>
        <w:rPr>
          <w:rFonts w:cs="Arial"/>
          <w:b/>
          <w:u w:val="single"/>
        </w:rPr>
      </w:pPr>
      <w:r w:rsidRPr="003957CA">
        <w:rPr>
          <w:rFonts w:cs="Arial"/>
          <w:b/>
          <w:u w:val="single"/>
        </w:rPr>
        <w:t>TYPES OF LEAVE</w:t>
      </w:r>
    </w:p>
    <w:p w:rsidR="003957CA" w:rsidRPr="003957CA" w:rsidRDefault="003957CA" w:rsidP="003957CA">
      <w:pPr>
        <w:snapToGrid w:val="0"/>
        <w:jc w:val="both"/>
        <w:rPr>
          <w:rFonts w:cs="Arial"/>
        </w:rPr>
      </w:pPr>
    </w:p>
    <w:p w:rsidR="00802D39" w:rsidRPr="003957CA" w:rsidRDefault="00C36335" w:rsidP="003957CA">
      <w:pPr>
        <w:snapToGrid w:val="0"/>
        <w:jc w:val="both"/>
        <w:rPr>
          <w:rFonts w:cs="Arial"/>
        </w:rPr>
      </w:pPr>
      <w:r w:rsidRPr="003957CA">
        <w:rPr>
          <w:rFonts w:cs="Arial"/>
          <w:b/>
        </w:rPr>
        <w:t>Personal Leave</w:t>
      </w:r>
      <w:r w:rsidRPr="003957CA">
        <w:rPr>
          <w:rFonts w:cs="Arial"/>
        </w:rPr>
        <w:t xml:space="preserve"> — An employee </w:t>
      </w:r>
      <w:r w:rsidR="00444BC1" w:rsidRPr="003957CA">
        <w:rPr>
          <w:rFonts w:cs="Arial"/>
        </w:rPr>
        <w:t xml:space="preserve">may </w:t>
      </w:r>
      <w:r w:rsidRPr="003957CA">
        <w:rPr>
          <w:rFonts w:cs="Arial"/>
        </w:rPr>
        <w:t xml:space="preserve">request a personal leave of absence if he/she wishes to take off time from work for personal </w:t>
      </w:r>
      <w:r w:rsidR="00F373B1" w:rsidRPr="003957CA">
        <w:rPr>
          <w:rFonts w:cs="Arial"/>
        </w:rPr>
        <w:t>reasons</w:t>
      </w:r>
      <w:r w:rsidR="0061418A" w:rsidRPr="003957CA">
        <w:rPr>
          <w:rFonts w:cs="Arial"/>
        </w:rPr>
        <w:t>.</w:t>
      </w:r>
      <w:r w:rsidR="00037A7D" w:rsidRPr="003957CA">
        <w:rPr>
          <w:rFonts w:cs="Arial"/>
        </w:rPr>
        <w:t xml:space="preserve"> </w:t>
      </w:r>
      <w:r w:rsidR="00802D39" w:rsidRPr="003957CA">
        <w:rPr>
          <w:rFonts w:cs="Arial"/>
        </w:rPr>
        <w:t xml:space="preserve">The department’s </w:t>
      </w:r>
      <w:r w:rsidR="001D6442" w:rsidRPr="003957CA">
        <w:rPr>
          <w:rFonts w:cs="Arial"/>
        </w:rPr>
        <w:t xml:space="preserve">workload as well as the </w:t>
      </w:r>
      <w:r w:rsidR="002F783F" w:rsidRPr="003957CA">
        <w:rPr>
          <w:rFonts w:cs="Arial"/>
        </w:rPr>
        <w:t>nature</w:t>
      </w:r>
      <w:r w:rsidR="001D6442" w:rsidRPr="003957CA">
        <w:rPr>
          <w:rFonts w:cs="Arial"/>
        </w:rPr>
        <w:t xml:space="preserve"> of the employee’s request is</w:t>
      </w:r>
      <w:r w:rsidR="00802D39" w:rsidRPr="003957CA">
        <w:rPr>
          <w:rFonts w:cs="Arial"/>
        </w:rPr>
        <w:t xml:space="preserve"> considered in granting a personal leave.  </w:t>
      </w:r>
    </w:p>
    <w:p w:rsidR="00802D39" w:rsidRPr="003957CA" w:rsidRDefault="00802D39" w:rsidP="003957CA">
      <w:pPr>
        <w:snapToGrid w:val="0"/>
        <w:ind w:left="360"/>
        <w:jc w:val="both"/>
        <w:rPr>
          <w:rFonts w:cs="Arial"/>
          <w:b/>
        </w:rPr>
      </w:pPr>
    </w:p>
    <w:p w:rsidR="002E56AC" w:rsidRPr="003957CA" w:rsidRDefault="00E24ED2" w:rsidP="003957CA">
      <w:pPr>
        <w:snapToGrid w:val="0"/>
        <w:jc w:val="both"/>
        <w:rPr>
          <w:rFonts w:cs="Arial"/>
        </w:rPr>
      </w:pPr>
      <w:r w:rsidRPr="003957CA">
        <w:rPr>
          <w:rFonts w:cs="Arial"/>
        </w:rPr>
        <w:t>The conditions of personal leave require that a</w:t>
      </w:r>
      <w:r w:rsidR="009E25DE" w:rsidRPr="003957CA">
        <w:rPr>
          <w:rFonts w:cs="Arial"/>
        </w:rPr>
        <w:t xml:space="preserve">ll available Paid Time </w:t>
      </w:r>
      <w:r w:rsidR="00AD0B0D" w:rsidRPr="003957CA">
        <w:rPr>
          <w:rFonts w:cs="Arial"/>
        </w:rPr>
        <w:t xml:space="preserve">Off (PTO) must be used prior to </w:t>
      </w:r>
      <w:r w:rsidR="009E25DE" w:rsidRPr="003957CA">
        <w:rPr>
          <w:rFonts w:cs="Arial"/>
        </w:rPr>
        <w:t xml:space="preserve">taking </w:t>
      </w:r>
      <w:r w:rsidR="00AD0B0D" w:rsidRPr="003957CA">
        <w:rPr>
          <w:rFonts w:cs="Arial"/>
        </w:rPr>
        <w:t xml:space="preserve">unpaid leave. </w:t>
      </w:r>
      <w:r w:rsidR="00802D39" w:rsidRPr="003957CA">
        <w:rPr>
          <w:rFonts w:cs="Arial"/>
        </w:rPr>
        <w:t xml:space="preserve"> </w:t>
      </w:r>
      <w:r w:rsidRPr="003957CA">
        <w:rPr>
          <w:rFonts w:cs="Arial"/>
        </w:rPr>
        <w:t xml:space="preserve">However, </w:t>
      </w:r>
      <w:r w:rsidR="009E25DE" w:rsidRPr="003957CA">
        <w:rPr>
          <w:rFonts w:cs="Arial"/>
        </w:rPr>
        <w:t>during periods when workload is low, c</w:t>
      </w:r>
      <w:r w:rsidR="006F3CB4" w:rsidRPr="003957CA">
        <w:rPr>
          <w:rFonts w:cs="Arial"/>
        </w:rPr>
        <w:t xml:space="preserve">linicians who are paid per visit may request </w:t>
      </w:r>
      <w:r w:rsidR="001D6442" w:rsidRPr="003957CA">
        <w:rPr>
          <w:rFonts w:cs="Arial"/>
        </w:rPr>
        <w:t>permission</w:t>
      </w:r>
      <w:r w:rsidR="009E25DE" w:rsidRPr="003957CA">
        <w:rPr>
          <w:rFonts w:cs="Arial"/>
        </w:rPr>
        <w:t xml:space="preserve"> to use </w:t>
      </w:r>
      <w:r w:rsidR="006F3CB4" w:rsidRPr="003957CA">
        <w:rPr>
          <w:rFonts w:cs="Arial"/>
        </w:rPr>
        <w:t xml:space="preserve">unpaid leave in lieu of PTO.  </w:t>
      </w:r>
      <w:r w:rsidR="001D6442" w:rsidRPr="003957CA">
        <w:rPr>
          <w:rFonts w:cs="Arial"/>
        </w:rPr>
        <w:t>This permission may only be granted by the President and CEO.</w:t>
      </w:r>
    </w:p>
    <w:p w:rsidR="002E56AC" w:rsidRPr="003957CA" w:rsidRDefault="002E56AC" w:rsidP="003957CA">
      <w:pPr>
        <w:snapToGrid w:val="0"/>
        <w:jc w:val="both"/>
        <w:rPr>
          <w:rFonts w:cs="Arial"/>
        </w:rPr>
      </w:pPr>
    </w:p>
    <w:p w:rsidR="000E1941" w:rsidRPr="003957CA" w:rsidRDefault="001D6442" w:rsidP="003957CA">
      <w:pPr>
        <w:snapToGrid w:val="0"/>
        <w:jc w:val="both"/>
        <w:rPr>
          <w:rFonts w:cs="Arial"/>
        </w:rPr>
      </w:pPr>
      <w:r w:rsidRPr="003957CA">
        <w:rPr>
          <w:rFonts w:cs="Arial"/>
        </w:rPr>
        <w:t xml:space="preserve">Employees who have preapproved PTO but </w:t>
      </w:r>
      <w:r w:rsidR="00A07224" w:rsidRPr="003957CA">
        <w:rPr>
          <w:rFonts w:cs="Arial"/>
        </w:rPr>
        <w:t xml:space="preserve">lack sufficient leave accrual </w:t>
      </w:r>
      <w:r w:rsidRPr="003957CA">
        <w:rPr>
          <w:rFonts w:cs="Arial"/>
        </w:rPr>
        <w:t>must request unpaid personal leave</w:t>
      </w:r>
      <w:r w:rsidR="00E24ED2" w:rsidRPr="003957CA">
        <w:rPr>
          <w:rFonts w:cs="Arial"/>
        </w:rPr>
        <w:t>.</w:t>
      </w:r>
      <w:r w:rsidR="00A07224" w:rsidRPr="003957CA">
        <w:rPr>
          <w:rFonts w:cs="Arial"/>
        </w:rPr>
        <w:t xml:space="preserve">  All such </w:t>
      </w:r>
      <w:r w:rsidR="00530D65" w:rsidRPr="003957CA">
        <w:rPr>
          <w:rFonts w:cs="Arial"/>
        </w:rPr>
        <w:t xml:space="preserve">requests </w:t>
      </w:r>
      <w:r w:rsidR="002F783F" w:rsidRPr="003957CA">
        <w:rPr>
          <w:rFonts w:cs="Arial"/>
        </w:rPr>
        <w:t>may only</w:t>
      </w:r>
      <w:r w:rsidR="00530D65" w:rsidRPr="003957CA">
        <w:rPr>
          <w:rFonts w:cs="Arial"/>
        </w:rPr>
        <w:t xml:space="preserve"> be approved by the President and CEO.  </w:t>
      </w:r>
      <w:r w:rsidR="002F783F" w:rsidRPr="003957CA">
        <w:rPr>
          <w:rFonts w:cs="Arial"/>
        </w:rPr>
        <w:t>In reviewing the leave request, consideration will be given to t</w:t>
      </w:r>
      <w:r w:rsidR="00530D65" w:rsidRPr="003957CA">
        <w:rPr>
          <w:rFonts w:cs="Arial"/>
        </w:rPr>
        <w:t xml:space="preserve">he nature of the request </w:t>
      </w:r>
      <w:r w:rsidR="002F783F" w:rsidRPr="003957CA">
        <w:rPr>
          <w:rFonts w:cs="Arial"/>
        </w:rPr>
        <w:t>and</w:t>
      </w:r>
      <w:r w:rsidR="00530D65" w:rsidRPr="003957CA">
        <w:rPr>
          <w:rFonts w:cs="Arial"/>
        </w:rPr>
        <w:t xml:space="preserve"> reasons for the lack of available PTO hours.  </w:t>
      </w:r>
      <w:r w:rsidR="00E24ED2" w:rsidRPr="003957CA">
        <w:rPr>
          <w:rFonts w:cs="Arial"/>
        </w:rPr>
        <w:t xml:space="preserve">  </w:t>
      </w:r>
    </w:p>
    <w:p w:rsidR="00E24ED2" w:rsidRPr="003957CA" w:rsidRDefault="00E24ED2" w:rsidP="003957CA">
      <w:pPr>
        <w:snapToGrid w:val="0"/>
        <w:ind w:left="360"/>
        <w:jc w:val="both"/>
        <w:rPr>
          <w:rFonts w:cs="Arial"/>
        </w:rPr>
      </w:pPr>
    </w:p>
    <w:p w:rsidR="00755F33" w:rsidRPr="003957CA" w:rsidRDefault="00534D8B" w:rsidP="003957CA">
      <w:pPr>
        <w:snapToGrid w:val="0"/>
        <w:jc w:val="both"/>
        <w:rPr>
          <w:rFonts w:cs="Arial"/>
        </w:rPr>
      </w:pPr>
      <w:r w:rsidRPr="003957CA">
        <w:rPr>
          <w:rFonts w:cs="Arial"/>
        </w:rPr>
        <w:t>Personal leaves may be granted for up to forty-five (45) days. Leave may represent a combination of paid and unpaid leave, with the unpaid portion not to exceed thirty (30) days</w:t>
      </w:r>
      <w:r w:rsidR="00F373B1" w:rsidRPr="003957CA">
        <w:rPr>
          <w:rFonts w:cs="Arial"/>
        </w:rPr>
        <w:t xml:space="preserve">. </w:t>
      </w:r>
      <w:r w:rsidR="004133D5" w:rsidRPr="003957CA">
        <w:rPr>
          <w:rFonts w:cs="Arial"/>
        </w:rPr>
        <w:t>E</w:t>
      </w:r>
      <w:r w:rsidR="00502CC1" w:rsidRPr="003957CA">
        <w:rPr>
          <w:rFonts w:cs="Arial"/>
        </w:rPr>
        <w:t>mployee benefits will remain in</w:t>
      </w:r>
      <w:r w:rsidR="00C36335" w:rsidRPr="003957CA">
        <w:rPr>
          <w:rFonts w:cs="Arial"/>
        </w:rPr>
        <w:t xml:space="preserve"> force until the end of the paid portion of </w:t>
      </w:r>
      <w:r w:rsidR="004133D5" w:rsidRPr="003957CA">
        <w:rPr>
          <w:rFonts w:cs="Arial"/>
        </w:rPr>
        <w:t>the</w:t>
      </w:r>
      <w:r w:rsidR="00C36335" w:rsidRPr="003957CA">
        <w:rPr>
          <w:rFonts w:cs="Arial"/>
        </w:rPr>
        <w:t xml:space="preserve"> personal leave. </w:t>
      </w:r>
      <w:r w:rsidR="00BC30B6" w:rsidRPr="003957CA">
        <w:rPr>
          <w:rFonts w:cs="Arial"/>
        </w:rPr>
        <w:t xml:space="preserve">When the unpaid leave extends beyond 10 working days, </w:t>
      </w:r>
      <w:r w:rsidR="004133D5" w:rsidRPr="003957CA">
        <w:rPr>
          <w:rFonts w:cs="Arial"/>
          <w:b/>
        </w:rPr>
        <w:t>the employee is</w:t>
      </w:r>
      <w:r w:rsidR="00C36335" w:rsidRPr="003957CA">
        <w:rPr>
          <w:rFonts w:cs="Arial"/>
          <w:b/>
        </w:rPr>
        <w:t xml:space="preserve"> responsible for the full cost of </w:t>
      </w:r>
      <w:r w:rsidR="00BC30B6" w:rsidRPr="003957CA">
        <w:rPr>
          <w:rFonts w:cs="Arial"/>
          <w:b/>
        </w:rPr>
        <w:t xml:space="preserve">his/her </w:t>
      </w:r>
      <w:r w:rsidR="00C36335" w:rsidRPr="003957CA">
        <w:rPr>
          <w:rFonts w:cs="Arial"/>
          <w:b/>
        </w:rPr>
        <w:t>benefits</w:t>
      </w:r>
      <w:r w:rsidR="00C36335" w:rsidRPr="003957CA">
        <w:rPr>
          <w:rFonts w:cs="Arial"/>
        </w:rPr>
        <w:t xml:space="preserve"> </w:t>
      </w:r>
      <w:r w:rsidR="00075AB0" w:rsidRPr="003957CA">
        <w:rPr>
          <w:rFonts w:cs="Arial"/>
        </w:rPr>
        <w:t xml:space="preserve">during the leave </w:t>
      </w:r>
      <w:r w:rsidR="00C36335" w:rsidRPr="003957CA">
        <w:rPr>
          <w:rFonts w:cs="Arial"/>
        </w:rPr>
        <w:t xml:space="preserve">if coverage is to continue. </w:t>
      </w:r>
      <w:r w:rsidR="00CC38A3" w:rsidRPr="003957CA">
        <w:rPr>
          <w:rFonts w:cs="Arial"/>
        </w:rPr>
        <w:t xml:space="preserve">Paid </w:t>
      </w:r>
      <w:r w:rsidR="00C36335" w:rsidRPr="003957CA">
        <w:rPr>
          <w:rFonts w:cs="Arial"/>
        </w:rPr>
        <w:t xml:space="preserve">Time </w:t>
      </w:r>
      <w:r w:rsidR="00CC38A3" w:rsidRPr="003957CA">
        <w:rPr>
          <w:rFonts w:cs="Arial"/>
        </w:rPr>
        <w:t>O</w:t>
      </w:r>
      <w:r w:rsidR="00C36335" w:rsidRPr="003957CA">
        <w:rPr>
          <w:rFonts w:cs="Arial"/>
        </w:rPr>
        <w:t xml:space="preserve">ff benefit accruals </w:t>
      </w:r>
      <w:r w:rsidR="004133D5" w:rsidRPr="003957CA">
        <w:rPr>
          <w:rFonts w:cs="Arial"/>
        </w:rPr>
        <w:t xml:space="preserve">are discontinued during the </w:t>
      </w:r>
      <w:r w:rsidR="00C36335" w:rsidRPr="003957CA">
        <w:rPr>
          <w:rFonts w:cs="Arial"/>
        </w:rPr>
        <w:t xml:space="preserve">leave and will resume upon return to active employment. </w:t>
      </w:r>
    </w:p>
    <w:p w:rsidR="00755F33" w:rsidRPr="003957CA" w:rsidRDefault="00755F33" w:rsidP="003957CA">
      <w:pPr>
        <w:snapToGrid w:val="0"/>
        <w:ind w:left="360"/>
        <w:jc w:val="both"/>
        <w:rPr>
          <w:rFonts w:cs="Arial"/>
        </w:rPr>
      </w:pPr>
    </w:p>
    <w:p w:rsidR="00C36335" w:rsidRPr="003957CA" w:rsidRDefault="00C36335" w:rsidP="003957CA">
      <w:pPr>
        <w:snapToGrid w:val="0"/>
        <w:jc w:val="both"/>
        <w:rPr>
          <w:rFonts w:cs="Arial"/>
        </w:rPr>
      </w:pPr>
      <w:r w:rsidRPr="003957CA">
        <w:rPr>
          <w:rFonts w:cs="Arial"/>
        </w:rPr>
        <w:t>THA Group make</w:t>
      </w:r>
      <w:r w:rsidR="004133D5" w:rsidRPr="003957CA">
        <w:rPr>
          <w:rFonts w:cs="Arial"/>
        </w:rPr>
        <w:t>s</w:t>
      </w:r>
      <w:r w:rsidRPr="003957CA">
        <w:rPr>
          <w:rFonts w:cs="Arial"/>
        </w:rPr>
        <w:t xml:space="preserve"> a reasonable effort to return </w:t>
      </w:r>
      <w:r w:rsidR="004133D5" w:rsidRPr="003957CA">
        <w:rPr>
          <w:rFonts w:cs="Arial"/>
        </w:rPr>
        <w:t>the employee</w:t>
      </w:r>
      <w:r w:rsidRPr="003957CA">
        <w:rPr>
          <w:rFonts w:cs="Arial"/>
        </w:rPr>
        <w:t xml:space="preserve"> to </w:t>
      </w:r>
      <w:r w:rsidR="00E0527B" w:rsidRPr="003957CA">
        <w:rPr>
          <w:rFonts w:cs="Arial"/>
        </w:rPr>
        <w:t>his/her</w:t>
      </w:r>
      <w:r w:rsidRPr="003957CA">
        <w:rPr>
          <w:rFonts w:cs="Arial"/>
        </w:rPr>
        <w:t xml:space="preserve"> former position, if available, or to a similar position </w:t>
      </w:r>
      <w:r w:rsidR="00037A7D" w:rsidRPr="003957CA">
        <w:rPr>
          <w:rFonts w:cs="Arial"/>
        </w:rPr>
        <w:t>for which the employee may be qualified.  H</w:t>
      </w:r>
      <w:r w:rsidRPr="003957CA">
        <w:rPr>
          <w:rFonts w:cs="Arial"/>
        </w:rPr>
        <w:t xml:space="preserve">owever, THA Group cannot guarantee such reinstatement in all cases. If </w:t>
      </w:r>
      <w:r w:rsidR="004133D5" w:rsidRPr="003957CA">
        <w:rPr>
          <w:rFonts w:cs="Arial"/>
        </w:rPr>
        <w:t>the employee fails</w:t>
      </w:r>
      <w:r w:rsidRPr="003957CA">
        <w:rPr>
          <w:rFonts w:cs="Arial"/>
        </w:rPr>
        <w:t xml:space="preserve"> to return to work at the end of </w:t>
      </w:r>
      <w:r w:rsidR="004133D5" w:rsidRPr="003957CA">
        <w:rPr>
          <w:rFonts w:cs="Arial"/>
        </w:rPr>
        <w:t xml:space="preserve">the personal </w:t>
      </w:r>
      <w:r w:rsidRPr="003957CA">
        <w:rPr>
          <w:rFonts w:cs="Arial"/>
        </w:rPr>
        <w:t xml:space="preserve">leave, THA Group will </w:t>
      </w:r>
      <w:r w:rsidR="004133D5" w:rsidRPr="003957CA">
        <w:rPr>
          <w:rFonts w:cs="Arial"/>
        </w:rPr>
        <w:t>consider the employee</w:t>
      </w:r>
      <w:r w:rsidRPr="003957CA">
        <w:rPr>
          <w:rFonts w:cs="Arial"/>
        </w:rPr>
        <w:t xml:space="preserve"> resigned from </w:t>
      </w:r>
      <w:r w:rsidR="004133D5" w:rsidRPr="003957CA">
        <w:rPr>
          <w:rFonts w:cs="Arial"/>
        </w:rPr>
        <w:t>the</w:t>
      </w:r>
      <w:r w:rsidRPr="003957CA">
        <w:rPr>
          <w:rFonts w:cs="Arial"/>
        </w:rPr>
        <w:t xml:space="preserve"> position and will terminate employment.</w:t>
      </w:r>
    </w:p>
    <w:p w:rsidR="00C36335" w:rsidRPr="003957CA" w:rsidRDefault="00C36335" w:rsidP="00265A8A">
      <w:pPr>
        <w:snapToGrid w:val="0"/>
        <w:jc w:val="both"/>
        <w:rPr>
          <w:rFonts w:cs="Arial"/>
        </w:rPr>
      </w:pPr>
    </w:p>
    <w:p w:rsidR="00265A8A" w:rsidRDefault="00265A8A">
      <w:pPr>
        <w:rPr>
          <w:rFonts w:cs="Arial"/>
          <w:b/>
        </w:rPr>
      </w:pPr>
      <w:r>
        <w:rPr>
          <w:rFonts w:cs="Arial"/>
          <w:b/>
        </w:rPr>
        <w:br w:type="page"/>
      </w:r>
    </w:p>
    <w:p w:rsidR="00C36335" w:rsidRPr="003957CA" w:rsidRDefault="00C36335" w:rsidP="003957CA">
      <w:pPr>
        <w:pStyle w:val="Level1"/>
        <w:widowControl/>
        <w:tabs>
          <w:tab w:val="clear" w:pos="720"/>
          <w:tab w:val="left" w:pos="-1440"/>
          <w:tab w:val="left" w:pos="540"/>
        </w:tabs>
        <w:ind w:left="0" w:firstLine="0"/>
        <w:jc w:val="both"/>
        <w:rPr>
          <w:rFonts w:ascii="Arial" w:hAnsi="Arial" w:cs="Arial"/>
          <w:b/>
          <w:szCs w:val="24"/>
        </w:rPr>
      </w:pPr>
      <w:r w:rsidRPr="003957CA">
        <w:rPr>
          <w:rFonts w:ascii="Arial" w:hAnsi="Arial" w:cs="Arial"/>
          <w:b/>
          <w:szCs w:val="24"/>
        </w:rPr>
        <w:lastRenderedPageBreak/>
        <w:t>APPLYING FOR A LEAVE</w:t>
      </w:r>
    </w:p>
    <w:p w:rsidR="00C36335" w:rsidRPr="003957CA" w:rsidRDefault="00B57C26" w:rsidP="003957CA">
      <w:pPr>
        <w:widowControl w:val="0"/>
        <w:numPr>
          <w:ilvl w:val="0"/>
          <w:numId w:val="4"/>
        </w:numPr>
        <w:snapToGrid w:val="0"/>
        <w:jc w:val="both"/>
        <w:rPr>
          <w:rFonts w:cs="Arial"/>
        </w:rPr>
      </w:pPr>
      <w:r w:rsidRPr="003957CA">
        <w:rPr>
          <w:rFonts w:cs="Arial"/>
        </w:rPr>
        <w:t>If the need for the leave is foreseeable, e</w:t>
      </w:r>
      <w:r w:rsidR="00C36335" w:rsidRPr="003957CA">
        <w:rPr>
          <w:rFonts w:cs="Arial"/>
        </w:rPr>
        <w:t xml:space="preserve">mployees must provide at least thirty (30) days advance notice before leave is to begin by completing the Leave of Absence Employee Request form (attached as </w:t>
      </w:r>
      <w:r w:rsidR="00075AB0" w:rsidRPr="003957CA">
        <w:rPr>
          <w:rFonts w:cs="Arial"/>
        </w:rPr>
        <w:t>E</w:t>
      </w:r>
      <w:r w:rsidRPr="003957CA">
        <w:rPr>
          <w:rFonts w:cs="Arial"/>
        </w:rPr>
        <w:t>xhibit I)</w:t>
      </w:r>
      <w:r w:rsidR="00C36335" w:rsidRPr="003957CA">
        <w:rPr>
          <w:rFonts w:cs="Arial"/>
        </w:rPr>
        <w:t>. If thirty (30) days is not practicable, notice must be given within two (2) business days of when the need for leave becomes known to the employee.</w:t>
      </w:r>
    </w:p>
    <w:p w:rsidR="00BF48AB" w:rsidRPr="003957CA" w:rsidRDefault="00BF48AB" w:rsidP="003957CA">
      <w:pPr>
        <w:widowControl w:val="0"/>
        <w:numPr>
          <w:ilvl w:val="0"/>
          <w:numId w:val="4"/>
        </w:numPr>
        <w:snapToGrid w:val="0"/>
        <w:jc w:val="both"/>
        <w:rPr>
          <w:rFonts w:cs="Arial"/>
        </w:rPr>
      </w:pPr>
      <w:r w:rsidRPr="003957CA">
        <w:rPr>
          <w:rFonts w:cs="Arial"/>
        </w:rPr>
        <w:t xml:space="preserve">When the total leave time includes both paid and unpaid leave, the employee must complete the Request for Paid Time Off form for the paid portion of the leave and the Leave of Absence) form for the balance of the leave time.  </w:t>
      </w:r>
    </w:p>
    <w:p w:rsidR="00C36335" w:rsidRPr="003957CA" w:rsidRDefault="00C36335" w:rsidP="003957CA">
      <w:pPr>
        <w:widowControl w:val="0"/>
        <w:numPr>
          <w:ilvl w:val="0"/>
          <w:numId w:val="5"/>
        </w:numPr>
        <w:snapToGrid w:val="0"/>
        <w:jc w:val="both"/>
        <w:rPr>
          <w:rFonts w:cs="Arial"/>
        </w:rPr>
      </w:pPr>
      <w:r w:rsidRPr="003957CA">
        <w:rPr>
          <w:rFonts w:cs="Arial"/>
        </w:rPr>
        <w:t>Management may require the employe</w:t>
      </w:r>
      <w:r w:rsidR="00502CC1" w:rsidRPr="003957CA">
        <w:rPr>
          <w:rFonts w:cs="Arial"/>
        </w:rPr>
        <w:t>e to report weekly on his/her</w:t>
      </w:r>
      <w:r w:rsidRPr="003957CA">
        <w:rPr>
          <w:rFonts w:cs="Arial"/>
        </w:rPr>
        <w:t xml:space="preserve"> status and intent to return to work.</w:t>
      </w:r>
    </w:p>
    <w:p w:rsidR="00590098" w:rsidRPr="003957CA" w:rsidRDefault="00590098" w:rsidP="003957CA">
      <w:pPr>
        <w:widowControl w:val="0"/>
        <w:snapToGrid w:val="0"/>
        <w:jc w:val="both"/>
        <w:rPr>
          <w:rFonts w:cs="Arial"/>
        </w:rPr>
      </w:pPr>
    </w:p>
    <w:p w:rsidR="00590098" w:rsidRPr="003957CA" w:rsidRDefault="00590098" w:rsidP="003957CA">
      <w:pPr>
        <w:widowControl w:val="0"/>
        <w:snapToGrid w:val="0"/>
        <w:jc w:val="both"/>
        <w:rPr>
          <w:rFonts w:cs="Arial"/>
          <w:b/>
        </w:rPr>
      </w:pPr>
      <w:r w:rsidRPr="003957CA">
        <w:rPr>
          <w:rFonts w:cs="Arial"/>
          <w:b/>
        </w:rPr>
        <w:t xml:space="preserve">APPROVAL  </w:t>
      </w:r>
    </w:p>
    <w:p w:rsidR="00590098" w:rsidRPr="003957CA" w:rsidRDefault="00590098" w:rsidP="003957CA">
      <w:pPr>
        <w:widowControl w:val="0"/>
        <w:numPr>
          <w:ilvl w:val="0"/>
          <w:numId w:val="5"/>
        </w:numPr>
        <w:snapToGrid w:val="0"/>
        <w:jc w:val="both"/>
        <w:rPr>
          <w:rFonts w:cs="Arial"/>
        </w:rPr>
      </w:pPr>
      <w:r w:rsidRPr="003957CA">
        <w:rPr>
          <w:rFonts w:cs="Arial"/>
        </w:rPr>
        <w:t xml:space="preserve">Requests for leaves of absence should be submitted to the employee’s immediate supervisor.  The supervisor will forward the request to the appropriate reporting area </w:t>
      </w:r>
      <w:r w:rsidR="00A15307">
        <w:rPr>
          <w:rFonts w:cs="Arial"/>
        </w:rPr>
        <w:t>V</w:t>
      </w:r>
      <w:r w:rsidRPr="003957CA">
        <w:rPr>
          <w:rFonts w:cs="Arial"/>
        </w:rPr>
        <w:t xml:space="preserve">ice </w:t>
      </w:r>
      <w:r w:rsidR="00A15307">
        <w:rPr>
          <w:rFonts w:cs="Arial"/>
        </w:rPr>
        <w:t>P</w:t>
      </w:r>
      <w:r w:rsidRPr="003957CA">
        <w:rPr>
          <w:rFonts w:cs="Arial"/>
        </w:rPr>
        <w:t xml:space="preserve">resident for approval. </w:t>
      </w:r>
    </w:p>
    <w:p w:rsidR="00590098" w:rsidRPr="003957CA" w:rsidRDefault="00590098" w:rsidP="003957CA">
      <w:pPr>
        <w:widowControl w:val="0"/>
        <w:numPr>
          <w:ilvl w:val="0"/>
          <w:numId w:val="5"/>
        </w:numPr>
        <w:snapToGrid w:val="0"/>
        <w:jc w:val="both"/>
        <w:rPr>
          <w:rFonts w:cs="Arial"/>
        </w:rPr>
      </w:pPr>
      <w:r w:rsidRPr="003957CA">
        <w:rPr>
          <w:rFonts w:cs="Arial"/>
        </w:rPr>
        <w:t xml:space="preserve">All unpaid leaves of absence must be approved by the </w:t>
      </w:r>
      <w:r w:rsidR="0061418A" w:rsidRPr="003957CA">
        <w:rPr>
          <w:rFonts w:cs="Arial"/>
        </w:rPr>
        <w:t>President &amp;</w:t>
      </w:r>
      <w:r w:rsidRPr="003957CA">
        <w:rPr>
          <w:rFonts w:cs="Arial"/>
        </w:rPr>
        <w:t xml:space="preserve"> CEO of THA Group regardless of duration.</w:t>
      </w:r>
    </w:p>
    <w:p w:rsidR="00C36335" w:rsidRPr="003957CA" w:rsidRDefault="00C36335" w:rsidP="003957CA">
      <w:pPr>
        <w:tabs>
          <w:tab w:val="num" w:pos="1080"/>
        </w:tabs>
        <w:snapToGrid w:val="0"/>
        <w:jc w:val="both"/>
        <w:rPr>
          <w:rFonts w:cs="Arial"/>
          <w:b/>
        </w:rPr>
      </w:pPr>
      <w:r w:rsidRPr="003957CA">
        <w:rPr>
          <w:rFonts w:cs="Arial"/>
          <w:b/>
        </w:rPr>
        <w:t> </w:t>
      </w:r>
    </w:p>
    <w:p w:rsidR="00C36335" w:rsidRPr="003957CA" w:rsidRDefault="00C36335" w:rsidP="003957CA">
      <w:pPr>
        <w:pStyle w:val="Level1"/>
        <w:widowControl/>
        <w:tabs>
          <w:tab w:val="clear" w:pos="720"/>
          <w:tab w:val="left" w:pos="-1440"/>
          <w:tab w:val="left" w:pos="540"/>
        </w:tabs>
        <w:ind w:left="0" w:firstLine="0"/>
        <w:jc w:val="both"/>
        <w:rPr>
          <w:rFonts w:ascii="Arial" w:hAnsi="Arial" w:cs="Arial"/>
          <w:b/>
          <w:szCs w:val="24"/>
        </w:rPr>
      </w:pPr>
      <w:r w:rsidRPr="003957CA">
        <w:rPr>
          <w:rFonts w:ascii="Arial" w:hAnsi="Arial" w:cs="Arial"/>
          <w:b/>
          <w:szCs w:val="24"/>
        </w:rPr>
        <w:t xml:space="preserve">EXTENSIONS OF APPROVED </w:t>
      </w:r>
      <w:r w:rsidR="00CC38A3" w:rsidRPr="003957CA">
        <w:rPr>
          <w:rFonts w:ascii="Arial" w:hAnsi="Arial" w:cs="Arial"/>
          <w:b/>
          <w:szCs w:val="24"/>
        </w:rPr>
        <w:t xml:space="preserve">PERSONAL </w:t>
      </w:r>
      <w:r w:rsidRPr="003957CA">
        <w:rPr>
          <w:rFonts w:ascii="Arial" w:hAnsi="Arial" w:cs="Arial"/>
          <w:b/>
          <w:szCs w:val="24"/>
        </w:rPr>
        <w:t>LEAVES</w:t>
      </w:r>
    </w:p>
    <w:p w:rsidR="00C36335" w:rsidRPr="003957CA" w:rsidRDefault="00C36335" w:rsidP="003957CA">
      <w:pPr>
        <w:pStyle w:val="BodyTextIndent"/>
        <w:numPr>
          <w:ilvl w:val="0"/>
          <w:numId w:val="5"/>
        </w:numPr>
        <w:spacing w:before="0" w:after="0"/>
        <w:rPr>
          <w:bCs w:val="0"/>
          <w:sz w:val="24"/>
        </w:rPr>
      </w:pPr>
      <w:r w:rsidRPr="003957CA">
        <w:rPr>
          <w:bCs w:val="0"/>
          <w:sz w:val="24"/>
        </w:rPr>
        <w:t xml:space="preserve">A leave extension may or may not be granted. Leave extensions may be approved based on organizational need, employee’s length of service, and employment record. </w:t>
      </w:r>
    </w:p>
    <w:p w:rsidR="00C36335" w:rsidRPr="003957CA" w:rsidRDefault="00C36335" w:rsidP="003957CA">
      <w:pPr>
        <w:pStyle w:val="BodyTextIndent"/>
        <w:widowControl w:val="0"/>
        <w:numPr>
          <w:ilvl w:val="0"/>
          <w:numId w:val="5"/>
        </w:numPr>
        <w:spacing w:before="0" w:after="0"/>
        <w:rPr>
          <w:sz w:val="24"/>
        </w:rPr>
      </w:pPr>
      <w:r w:rsidRPr="003957CA">
        <w:rPr>
          <w:sz w:val="24"/>
        </w:rPr>
        <w:t xml:space="preserve">The employee who requests a leave of absence extension </w:t>
      </w:r>
      <w:r w:rsidR="00531657" w:rsidRPr="003957CA">
        <w:rPr>
          <w:sz w:val="24"/>
        </w:rPr>
        <w:t>is expected to</w:t>
      </w:r>
      <w:r w:rsidRPr="003957CA">
        <w:rPr>
          <w:sz w:val="24"/>
        </w:rPr>
        <w:t xml:space="preserve"> submit required documents or forms to </w:t>
      </w:r>
      <w:r w:rsidR="002C0091" w:rsidRPr="003957CA">
        <w:rPr>
          <w:sz w:val="24"/>
        </w:rPr>
        <w:t>Talent Management</w:t>
      </w:r>
      <w:r w:rsidRPr="003957CA">
        <w:rPr>
          <w:sz w:val="24"/>
        </w:rPr>
        <w:t xml:space="preserve"> at least two (2) weeks prior to the expiration of the originally approved leave period. The President and CEO </w:t>
      </w:r>
      <w:r w:rsidR="00075AB0" w:rsidRPr="003957CA">
        <w:rPr>
          <w:sz w:val="24"/>
        </w:rPr>
        <w:t xml:space="preserve">of THA Group may </w:t>
      </w:r>
      <w:r w:rsidRPr="003957CA">
        <w:rPr>
          <w:sz w:val="24"/>
        </w:rPr>
        <w:t>confer with appropriate management as necessary to decide whether to approve or disapprove the leave extension.</w:t>
      </w:r>
    </w:p>
    <w:p w:rsidR="00C36335" w:rsidRPr="003957CA" w:rsidRDefault="00C36335" w:rsidP="003957CA">
      <w:pPr>
        <w:tabs>
          <w:tab w:val="num" w:pos="1440"/>
        </w:tabs>
        <w:snapToGrid w:val="0"/>
        <w:ind w:left="1080"/>
        <w:jc w:val="both"/>
        <w:rPr>
          <w:rFonts w:cs="Arial"/>
          <w:b/>
        </w:rPr>
      </w:pPr>
      <w:r w:rsidRPr="003957CA">
        <w:rPr>
          <w:rFonts w:cs="Arial"/>
          <w:b/>
        </w:rPr>
        <w:t> </w:t>
      </w:r>
    </w:p>
    <w:p w:rsidR="00C36335" w:rsidRPr="003957CA" w:rsidRDefault="00C36335" w:rsidP="003957CA">
      <w:pPr>
        <w:pStyle w:val="Level1"/>
        <w:widowControl/>
        <w:tabs>
          <w:tab w:val="clear" w:pos="720"/>
          <w:tab w:val="left" w:pos="-1440"/>
          <w:tab w:val="left" w:pos="540"/>
        </w:tabs>
        <w:ind w:left="0" w:firstLine="0"/>
        <w:jc w:val="both"/>
        <w:rPr>
          <w:rFonts w:ascii="Arial" w:hAnsi="Arial" w:cs="Arial"/>
          <w:b/>
          <w:szCs w:val="24"/>
        </w:rPr>
      </w:pPr>
      <w:r w:rsidRPr="003957CA">
        <w:rPr>
          <w:rFonts w:ascii="Arial" w:hAnsi="Arial" w:cs="Arial"/>
          <w:b/>
          <w:szCs w:val="24"/>
        </w:rPr>
        <w:t>REINSTATEMENT/RETURN TO WORK</w:t>
      </w:r>
    </w:p>
    <w:p w:rsidR="00C36335" w:rsidRPr="003957CA" w:rsidRDefault="00C36335" w:rsidP="003957CA">
      <w:pPr>
        <w:pStyle w:val="BodyTextIndent"/>
        <w:widowControl w:val="0"/>
        <w:numPr>
          <w:ilvl w:val="0"/>
          <w:numId w:val="7"/>
        </w:numPr>
        <w:tabs>
          <w:tab w:val="left" w:pos="1080"/>
        </w:tabs>
        <w:spacing w:before="0" w:after="0"/>
        <w:rPr>
          <w:bCs w:val="0"/>
          <w:sz w:val="24"/>
        </w:rPr>
      </w:pPr>
      <w:r w:rsidRPr="003957CA">
        <w:rPr>
          <w:bCs w:val="0"/>
          <w:sz w:val="24"/>
        </w:rPr>
        <w:t xml:space="preserve">At least two (2) weeks prior to the expiration of an approved leave, including approved leave extensions, the employee </w:t>
      </w:r>
      <w:r w:rsidR="00220B27" w:rsidRPr="003957CA">
        <w:rPr>
          <w:bCs w:val="0"/>
          <w:sz w:val="24"/>
        </w:rPr>
        <w:t>is expected to</w:t>
      </w:r>
      <w:r w:rsidRPr="003957CA">
        <w:rPr>
          <w:bCs w:val="0"/>
          <w:sz w:val="24"/>
        </w:rPr>
        <w:t xml:space="preserve"> contact </w:t>
      </w:r>
      <w:r w:rsidR="004A5557" w:rsidRPr="003957CA">
        <w:rPr>
          <w:bCs w:val="0"/>
          <w:sz w:val="24"/>
        </w:rPr>
        <w:t>his/her</w:t>
      </w:r>
      <w:r w:rsidRPr="003957CA">
        <w:rPr>
          <w:bCs w:val="0"/>
          <w:sz w:val="24"/>
        </w:rPr>
        <w:t xml:space="preserve"> supervisor and </w:t>
      </w:r>
      <w:r w:rsidR="002C0091" w:rsidRPr="003957CA">
        <w:rPr>
          <w:bCs w:val="0"/>
          <w:sz w:val="24"/>
        </w:rPr>
        <w:t>Talent Management</w:t>
      </w:r>
      <w:r w:rsidRPr="003957CA">
        <w:rPr>
          <w:bCs w:val="0"/>
          <w:sz w:val="24"/>
        </w:rPr>
        <w:t xml:space="preserve"> to stipulate the date of availability for return to work. When the return date has been established, </w:t>
      </w:r>
      <w:r w:rsidR="002C0091" w:rsidRPr="003957CA">
        <w:rPr>
          <w:bCs w:val="0"/>
          <w:sz w:val="24"/>
        </w:rPr>
        <w:t>Talent Management</w:t>
      </w:r>
      <w:r w:rsidRPr="003957CA">
        <w:rPr>
          <w:bCs w:val="0"/>
          <w:sz w:val="24"/>
        </w:rPr>
        <w:t xml:space="preserve"> </w:t>
      </w:r>
      <w:r w:rsidR="00BF48AB" w:rsidRPr="003957CA">
        <w:rPr>
          <w:bCs w:val="0"/>
          <w:sz w:val="24"/>
        </w:rPr>
        <w:t>will</w:t>
      </w:r>
      <w:r w:rsidRPr="003957CA">
        <w:rPr>
          <w:bCs w:val="0"/>
          <w:sz w:val="24"/>
        </w:rPr>
        <w:t xml:space="preserve"> activate reinstatement</w:t>
      </w:r>
      <w:r w:rsidR="00BF48AB" w:rsidRPr="003957CA">
        <w:rPr>
          <w:bCs w:val="0"/>
          <w:sz w:val="24"/>
        </w:rPr>
        <w:t xml:space="preserve"> and coordinate with Payroll</w:t>
      </w:r>
      <w:r w:rsidRPr="003957CA">
        <w:rPr>
          <w:bCs w:val="0"/>
          <w:sz w:val="24"/>
        </w:rPr>
        <w:t>.</w:t>
      </w:r>
    </w:p>
    <w:p w:rsidR="00C36335" w:rsidRPr="003957CA" w:rsidRDefault="00C36335" w:rsidP="003957CA">
      <w:pPr>
        <w:pStyle w:val="BodyText"/>
        <w:numPr>
          <w:ilvl w:val="0"/>
          <w:numId w:val="7"/>
        </w:numPr>
        <w:spacing w:before="0" w:after="0"/>
        <w:rPr>
          <w:sz w:val="24"/>
        </w:rPr>
      </w:pPr>
      <w:r w:rsidRPr="003957CA">
        <w:rPr>
          <w:sz w:val="24"/>
        </w:rPr>
        <w:t>Failure by the employee to comply with any of the above requirements may result in separation from employment.  </w:t>
      </w:r>
    </w:p>
    <w:sectPr w:rsidR="00C36335" w:rsidRPr="003957CA" w:rsidSect="003957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C1" w:rsidRDefault="00444BC1">
      <w:r>
        <w:separator/>
      </w:r>
    </w:p>
  </w:endnote>
  <w:endnote w:type="continuationSeparator" w:id="0">
    <w:p w:rsidR="00444BC1" w:rsidRDefault="00444BC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1" w:rsidRDefault="00495DC6" w:rsidP="003C07A3">
    <w:pPr>
      <w:pStyle w:val="Footer"/>
      <w:framePr w:wrap="around" w:vAnchor="text" w:hAnchor="margin" w:xAlign="right" w:y="1"/>
      <w:rPr>
        <w:rStyle w:val="PageNumber"/>
      </w:rPr>
    </w:pPr>
    <w:r>
      <w:rPr>
        <w:rStyle w:val="PageNumber"/>
      </w:rPr>
      <w:fldChar w:fldCharType="begin"/>
    </w:r>
    <w:r w:rsidR="00444BC1">
      <w:rPr>
        <w:rStyle w:val="PageNumber"/>
      </w:rPr>
      <w:instrText xml:space="preserve">PAGE  </w:instrText>
    </w:r>
    <w:r>
      <w:rPr>
        <w:rStyle w:val="PageNumber"/>
      </w:rPr>
      <w:fldChar w:fldCharType="end"/>
    </w:r>
  </w:p>
  <w:p w:rsidR="00444BC1" w:rsidRDefault="00444BC1" w:rsidP="003C68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C1" w:rsidRPr="00AA5E20" w:rsidRDefault="002A1875" w:rsidP="003957CA">
    <w:pPr>
      <w:pStyle w:val="Footer"/>
      <w:tabs>
        <w:tab w:val="clear" w:pos="4320"/>
        <w:tab w:val="clear" w:pos="8640"/>
        <w:tab w:val="right" w:pos="10800"/>
      </w:tabs>
      <w:rPr>
        <w:rFonts w:ascii="Arial" w:hAnsi="Arial" w:cs="Arial"/>
        <w:sz w:val="16"/>
        <w:szCs w:val="16"/>
      </w:rPr>
    </w:pPr>
    <w:fldSimple w:instr=" FILENAME  \p  \* MERGEFORMAT ">
      <w:r>
        <w:rPr>
          <w:rFonts w:ascii="Arial" w:hAnsi="Arial" w:cs="Arial"/>
          <w:noProof/>
          <w:sz w:val="16"/>
          <w:szCs w:val="16"/>
        </w:rPr>
        <w:t>G:\Policies and Procedures 2016\Administrative Policies and Procedures Manual\05  Talent Management\Leave of Absence.docx</w:t>
      </w:r>
    </w:fldSimple>
    <w:r w:rsidR="003957CA">
      <w:rPr>
        <w:rFonts w:ascii="Arial" w:hAnsi="Arial" w:cs="Arial"/>
        <w:sz w:val="16"/>
        <w:szCs w:val="16"/>
      </w:rPr>
      <w:tab/>
    </w:r>
    <w:r w:rsidR="00495DC6" w:rsidRPr="003957CA">
      <w:rPr>
        <w:rFonts w:ascii="Arial" w:hAnsi="Arial" w:cs="Arial"/>
        <w:sz w:val="16"/>
        <w:szCs w:val="16"/>
      </w:rPr>
      <w:fldChar w:fldCharType="begin"/>
    </w:r>
    <w:r w:rsidR="003957CA" w:rsidRPr="003957CA">
      <w:rPr>
        <w:rFonts w:ascii="Arial" w:hAnsi="Arial" w:cs="Arial"/>
        <w:sz w:val="16"/>
        <w:szCs w:val="16"/>
      </w:rPr>
      <w:instrText xml:space="preserve"> PAGE   \* MERGEFORMAT </w:instrText>
    </w:r>
    <w:r w:rsidR="00495DC6" w:rsidRPr="003957CA">
      <w:rPr>
        <w:rFonts w:ascii="Arial" w:hAnsi="Arial" w:cs="Arial"/>
        <w:sz w:val="16"/>
        <w:szCs w:val="16"/>
      </w:rPr>
      <w:fldChar w:fldCharType="separate"/>
    </w:r>
    <w:r>
      <w:rPr>
        <w:rFonts w:ascii="Arial" w:hAnsi="Arial" w:cs="Arial"/>
        <w:noProof/>
        <w:sz w:val="16"/>
        <w:szCs w:val="16"/>
      </w:rPr>
      <w:t>1</w:t>
    </w:r>
    <w:r w:rsidR="00495DC6" w:rsidRPr="003957CA">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75" w:rsidRDefault="002A1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C1" w:rsidRDefault="00444BC1">
      <w:r>
        <w:separator/>
      </w:r>
    </w:p>
  </w:footnote>
  <w:footnote w:type="continuationSeparator" w:id="0">
    <w:p w:rsidR="00444BC1" w:rsidRDefault="00444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75" w:rsidRDefault="002A18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75" w:rsidRDefault="002A18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75" w:rsidRDefault="002A1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9622BA"/>
    <w:lvl w:ilvl="0">
      <w:start w:val="1"/>
      <w:numFmt w:val="upperLetter"/>
      <w:lvlText w:val="%1."/>
      <w:lvlJc w:val="left"/>
      <w:pPr>
        <w:tabs>
          <w:tab w:val="num" w:pos="720"/>
        </w:tabs>
        <w:ind w:left="720" w:hanging="720"/>
      </w:pPr>
      <w:rPr>
        <w:rFonts w:ascii="Book Antiqua" w:hAnsi="Book Antiqua"/>
        <w:sz w:val="24"/>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20FC2BD0"/>
    <w:multiLevelType w:val="hybridMultilevel"/>
    <w:tmpl w:val="638A2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BF0404"/>
    <w:multiLevelType w:val="hybridMultilevel"/>
    <w:tmpl w:val="57A6D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D151C"/>
    <w:multiLevelType w:val="hybridMultilevel"/>
    <w:tmpl w:val="EA044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D02344"/>
    <w:multiLevelType w:val="hybridMultilevel"/>
    <w:tmpl w:val="3F9CACA0"/>
    <w:lvl w:ilvl="0" w:tplc="FB7C81EC">
      <w:start w:val="1"/>
      <w:numFmt w:val="bullet"/>
      <w:lvlText w:val="●"/>
      <w:lvlJc w:val="left"/>
      <w:pPr>
        <w:tabs>
          <w:tab w:val="num" w:pos="360"/>
        </w:tabs>
        <w:ind w:left="360" w:hanging="360"/>
      </w:pPr>
      <w:rPr>
        <w:rFonts w:hAnsi="Arial"/>
        <w:w w:val="9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0293E06"/>
    <w:multiLevelType w:val="hybridMultilevel"/>
    <w:tmpl w:val="9DC080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F54413C"/>
    <w:multiLevelType w:val="hybridMultilevel"/>
    <w:tmpl w:val="0E9A9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272661"/>
    <w:multiLevelType w:val="hybridMultilevel"/>
    <w:tmpl w:val="62CC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7E3B26"/>
    <w:rsid w:val="00037A7D"/>
    <w:rsid w:val="00075AB0"/>
    <w:rsid w:val="000834A0"/>
    <w:rsid w:val="000B433E"/>
    <w:rsid w:val="000D0AD6"/>
    <w:rsid w:val="000E1941"/>
    <w:rsid w:val="001124CE"/>
    <w:rsid w:val="00141637"/>
    <w:rsid w:val="001C3555"/>
    <w:rsid w:val="001D6442"/>
    <w:rsid w:val="00220B27"/>
    <w:rsid w:val="00261DDA"/>
    <w:rsid w:val="00265A8A"/>
    <w:rsid w:val="002A1875"/>
    <w:rsid w:val="002C0091"/>
    <w:rsid w:val="002C5F23"/>
    <w:rsid w:val="002E56AC"/>
    <w:rsid w:val="002F783F"/>
    <w:rsid w:val="00315C37"/>
    <w:rsid w:val="00381C4F"/>
    <w:rsid w:val="00384729"/>
    <w:rsid w:val="003957CA"/>
    <w:rsid w:val="003B1BA8"/>
    <w:rsid w:val="003C07A3"/>
    <w:rsid w:val="003C68FA"/>
    <w:rsid w:val="003E4D5F"/>
    <w:rsid w:val="00403044"/>
    <w:rsid w:val="0040633E"/>
    <w:rsid w:val="004133D5"/>
    <w:rsid w:val="00444BC1"/>
    <w:rsid w:val="0044652C"/>
    <w:rsid w:val="00452C27"/>
    <w:rsid w:val="00465182"/>
    <w:rsid w:val="00476DBD"/>
    <w:rsid w:val="004879B8"/>
    <w:rsid w:val="004921B0"/>
    <w:rsid w:val="00495DC6"/>
    <w:rsid w:val="004A5557"/>
    <w:rsid w:val="004C203A"/>
    <w:rsid w:val="00502CC1"/>
    <w:rsid w:val="00530D65"/>
    <w:rsid w:val="00531657"/>
    <w:rsid w:val="00534D8B"/>
    <w:rsid w:val="00590098"/>
    <w:rsid w:val="005C3834"/>
    <w:rsid w:val="0061418A"/>
    <w:rsid w:val="0064714B"/>
    <w:rsid w:val="00652184"/>
    <w:rsid w:val="00684E5F"/>
    <w:rsid w:val="006B59C7"/>
    <w:rsid w:val="006F21AE"/>
    <w:rsid w:val="006F3CB4"/>
    <w:rsid w:val="00755F33"/>
    <w:rsid w:val="00774622"/>
    <w:rsid w:val="00795051"/>
    <w:rsid w:val="007B0CB1"/>
    <w:rsid w:val="007C4D2C"/>
    <w:rsid w:val="007D6E3B"/>
    <w:rsid w:val="007E3B26"/>
    <w:rsid w:val="007F6C88"/>
    <w:rsid w:val="00800763"/>
    <w:rsid w:val="00802D39"/>
    <w:rsid w:val="0085157A"/>
    <w:rsid w:val="00852FCD"/>
    <w:rsid w:val="00863696"/>
    <w:rsid w:val="00864864"/>
    <w:rsid w:val="0088558A"/>
    <w:rsid w:val="0089087D"/>
    <w:rsid w:val="008D21FF"/>
    <w:rsid w:val="008D6651"/>
    <w:rsid w:val="00900E2E"/>
    <w:rsid w:val="00925CDB"/>
    <w:rsid w:val="0094225B"/>
    <w:rsid w:val="009E25DE"/>
    <w:rsid w:val="00A07224"/>
    <w:rsid w:val="00A15307"/>
    <w:rsid w:val="00A42396"/>
    <w:rsid w:val="00AA5E20"/>
    <w:rsid w:val="00AD0B0D"/>
    <w:rsid w:val="00AD2BCC"/>
    <w:rsid w:val="00B57C26"/>
    <w:rsid w:val="00BB78A8"/>
    <w:rsid w:val="00BC30B6"/>
    <w:rsid w:val="00BF48AB"/>
    <w:rsid w:val="00C14B38"/>
    <w:rsid w:val="00C16859"/>
    <w:rsid w:val="00C20582"/>
    <w:rsid w:val="00C2303A"/>
    <w:rsid w:val="00C36335"/>
    <w:rsid w:val="00C377EB"/>
    <w:rsid w:val="00C56DD9"/>
    <w:rsid w:val="00C576F7"/>
    <w:rsid w:val="00CA0616"/>
    <w:rsid w:val="00CA1FB1"/>
    <w:rsid w:val="00CB117A"/>
    <w:rsid w:val="00CC38A3"/>
    <w:rsid w:val="00D838F2"/>
    <w:rsid w:val="00DB05A6"/>
    <w:rsid w:val="00DB217A"/>
    <w:rsid w:val="00DB7CA2"/>
    <w:rsid w:val="00DC06F9"/>
    <w:rsid w:val="00E0527B"/>
    <w:rsid w:val="00E244B2"/>
    <w:rsid w:val="00E24ED2"/>
    <w:rsid w:val="00E371AC"/>
    <w:rsid w:val="00E46998"/>
    <w:rsid w:val="00E62F18"/>
    <w:rsid w:val="00E92247"/>
    <w:rsid w:val="00EA598E"/>
    <w:rsid w:val="00EC1F1E"/>
    <w:rsid w:val="00F3125A"/>
    <w:rsid w:val="00F330A7"/>
    <w:rsid w:val="00F373B1"/>
    <w:rsid w:val="00F50D18"/>
    <w:rsid w:val="00F8354C"/>
    <w:rsid w:val="00F872B3"/>
    <w:rsid w:val="00FA62DE"/>
    <w:rsid w:val="00FA6989"/>
    <w:rsid w:val="00FA7EB7"/>
    <w:rsid w:val="00FE1E76"/>
    <w:rsid w:val="00FF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859"/>
    <w:rPr>
      <w:rFonts w:ascii="Arial" w:hAnsi="Arial"/>
      <w:sz w:val="24"/>
      <w:szCs w:val="24"/>
    </w:rPr>
  </w:style>
  <w:style w:type="paragraph" w:styleId="Heading1">
    <w:name w:val="heading 1"/>
    <w:basedOn w:val="Normal"/>
    <w:next w:val="Normal"/>
    <w:qFormat/>
    <w:rsid w:val="00C16859"/>
    <w:pPr>
      <w:keepNext/>
      <w:tabs>
        <w:tab w:val="right" w:pos="9360"/>
      </w:tabs>
      <w:snapToGrid w:val="0"/>
      <w:jc w:val="both"/>
      <w:outlineLvl w:val="0"/>
    </w:pPr>
    <w:rPr>
      <w:rFonts w:ascii="Times New Roman" w:hAnsi="Times New Roman"/>
      <w:b/>
      <w:sz w:val="28"/>
      <w:szCs w:val="20"/>
    </w:rPr>
  </w:style>
  <w:style w:type="paragraph" w:styleId="Heading2">
    <w:name w:val="heading 2"/>
    <w:basedOn w:val="Normal"/>
    <w:next w:val="Normal"/>
    <w:qFormat/>
    <w:rsid w:val="00C16859"/>
    <w:pPr>
      <w:keepNext/>
      <w:tabs>
        <w:tab w:val="center" w:pos="4680"/>
      </w:tabs>
      <w:snapToGrid w:val="0"/>
      <w:jc w:val="center"/>
      <w:outlineLvl w:val="1"/>
    </w:pPr>
    <w:rPr>
      <w:rFonts w:ascii="Times New Roman" w:hAnsi="Times New Roman"/>
      <w:b/>
      <w:sz w:val="20"/>
      <w:szCs w:val="20"/>
    </w:rPr>
  </w:style>
  <w:style w:type="paragraph" w:styleId="Heading3">
    <w:name w:val="heading 3"/>
    <w:basedOn w:val="Normal"/>
    <w:next w:val="Normal"/>
    <w:qFormat/>
    <w:rsid w:val="00C16859"/>
    <w:pPr>
      <w:keepNext/>
      <w:snapToGrid w:val="0"/>
      <w:spacing w:before="40" w:after="40"/>
      <w:jc w:val="both"/>
      <w:outlineLvl w:val="2"/>
    </w:pPr>
    <w:rPr>
      <w:rFonts w:cs="Arial"/>
      <w:b/>
      <w:sz w:val="22"/>
    </w:rPr>
  </w:style>
  <w:style w:type="paragraph" w:styleId="Heading4">
    <w:name w:val="heading 4"/>
    <w:basedOn w:val="Normal"/>
    <w:next w:val="Normal"/>
    <w:qFormat/>
    <w:rsid w:val="00C16859"/>
    <w:pPr>
      <w:keepNext/>
      <w:snapToGrid w:val="0"/>
      <w:jc w:val="both"/>
      <w:outlineLvl w:val="3"/>
    </w:pPr>
    <w:rPr>
      <w:rFonts w:ascii="Verdana" w:hAnsi="Verdana"/>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16859"/>
    <w:pPr>
      <w:widowControl w:val="0"/>
      <w:tabs>
        <w:tab w:val="num" w:pos="720"/>
      </w:tabs>
      <w:snapToGrid w:val="0"/>
      <w:ind w:left="720" w:hanging="720"/>
      <w:outlineLvl w:val="0"/>
    </w:pPr>
    <w:rPr>
      <w:rFonts w:ascii="Times New Roman" w:hAnsi="Times New Roman"/>
      <w:szCs w:val="20"/>
    </w:rPr>
  </w:style>
  <w:style w:type="paragraph" w:styleId="Footer">
    <w:name w:val="footer"/>
    <w:basedOn w:val="Normal"/>
    <w:rsid w:val="00C16859"/>
    <w:pPr>
      <w:widowControl w:val="0"/>
      <w:tabs>
        <w:tab w:val="center" w:pos="4320"/>
        <w:tab w:val="right" w:pos="8640"/>
      </w:tabs>
      <w:snapToGrid w:val="0"/>
    </w:pPr>
    <w:rPr>
      <w:rFonts w:ascii="Times New Roman" w:hAnsi="Times New Roman"/>
      <w:szCs w:val="20"/>
    </w:rPr>
  </w:style>
  <w:style w:type="character" w:styleId="Hyperlink">
    <w:name w:val="Hyperlink"/>
    <w:basedOn w:val="DefaultParagraphFont"/>
    <w:rsid w:val="00C16859"/>
    <w:rPr>
      <w:color w:val="0000FF"/>
      <w:u w:val="single"/>
    </w:rPr>
  </w:style>
  <w:style w:type="paragraph" w:styleId="BodyTextIndent">
    <w:name w:val="Body Text Indent"/>
    <w:basedOn w:val="Normal"/>
    <w:rsid w:val="00C16859"/>
    <w:pPr>
      <w:tabs>
        <w:tab w:val="left" w:pos="720"/>
      </w:tabs>
      <w:snapToGrid w:val="0"/>
      <w:spacing w:before="40" w:after="40"/>
      <w:ind w:left="720"/>
      <w:jc w:val="both"/>
    </w:pPr>
    <w:rPr>
      <w:rFonts w:cs="Arial"/>
      <w:bCs/>
      <w:sz w:val="22"/>
    </w:rPr>
  </w:style>
  <w:style w:type="paragraph" w:styleId="BodyTextIndent2">
    <w:name w:val="Body Text Indent 2"/>
    <w:basedOn w:val="Normal"/>
    <w:rsid w:val="00C16859"/>
    <w:pPr>
      <w:snapToGrid w:val="0"/>
      <w:spacing w:before="40" w:after="40"/>
      <w:ind w:left="360" w:firstLine="60"/>
      <w:jc w:val="both"/>
    </w:pPr>
    <w:rPr>
      <w:rFonts w:cs="Arial"/>
      <w:sz w:val="22"/>
    </w:rPr>
  </w:style>
  <w:style w:type="paragraph" w:styleId="BodyTextIndent3">
    <w:name w:val="Body Text Indent 3"/>
    <w:basedOn w:val="Normal"/>
    <w:rsid w:val="00C16859"/>
    <w:pPr>
      <w:widowControl w:val="0"/>
      <w:snapToGrid w:val="0"/>
      <w:spacing w:before="40" w:after="40"/>
      <w:ind w:left="1080"/>
      <w:jc w:val="both"/>
    </w:pPr>
    <w:rPr>
      <w:rFonts w:cs="Arial"/>
      <w:sz w:val="22"/>
    </w:rPr>
  </w:style>
  <w:style w:type="paragraph" w:styleId="BodyText">
    <w:name w:val="Body Text"/>
    <w:basedOn w:val="Normal"/>
    <w:rsid w:val="00C16859"/>
    <w:pPr>
      <w:widowControl w:val="0"/>
      <w:snapToGrid w:val="0"/>
      <w:spacing w:before="40" w:after="40"/>
      <w:jc w:val="both"/>
    </w:pPr>
    <w:rPr>
      <w:rFonts w:cs="Arial"/>
      <w:sz w:val="22"/>
    </w:rPr>
  </w:style>
  <w:style w:type="character" w:styleId="PageNumber">
    <w:name w:val="page number"/>
    <w:basedOn w:val="DefaultParagraphFont"/>
    <w:rsid w:val="003C68FA"/>
  </w:style>
  <w:style w:type="paragraph" w:styleId="Header">
    <w:name w:val="header"/>
    <w:basedOn w:val="Normal"/>
    <w:rsid w:val="00795051"/>
    <w:pPr>
      <w:tabs>
        <w:tab w:val="center" w:pos="4320"/>
        <w:tab w:val="right" w:pos="8640"/>
      </w:tabs>
    </w:pPr>
  </w:style>
  <w:style w:type="paragraph" w:styleId="ListParagraph">
    <w:name w:val="List Paragraph"/>
    <w:basedOn w:val="Normal"/>
    <w:uiPriority w:val="34"/>
    <w:qFormat/>
    <w:rsid w:val="00037A7D"/>
    <w:pPr>
      <w:ind w:left="720"/>
    </w:pPr>
  </w:style>
  <w:style w:type="paragraph" w:styleId="BalloonText">
    <w:name w:val="Balloon Text"/>
    <w:basedOn w:val="Normal"/>
    <w:link w:val="BalloonTextChar"/>
    <w:rsid w:val="00774622"/>
    <w:rPr>
      <w:rFonts w:ascii="Tahoma" w:hAnsi="Tahoma" w:cs="Tahoma"/>
      <w:sz w:val="16"/>
      <w:szCs w:val="16"/>
    </w:rPr>
  </w:style>
  <w:style w:type="character" w:customStyle="1" w:styleId="BalloonTextChar">
    <w:name w:val="Balloon Text Char"/>
    <w:basedOn w:val="DefaultParagraphFont"/>
    <w:link w:val="BalloonText"/>
    <w:rsid w:val="00774622"/>
    <w:rPr>
      <w:rFonts w:ascii="Tahoma" w:hAnsi="Tahoma" w:cs="Tahoma"/>
      <w:sz w:val="16"/>
      <w:szCs w:val="16"/>
    </w:rPr>
  </w:style>
  <w:style w:type="paragraph" w:styleId="NormalWeb">
    <w:name w:val="Normal (Web)"/>
    <w:basedOn w:val="Normal"/>
    <w:uiPriority w:val="99"/>
    <w:unhideWhenUsed/>
    <w:rsid w:val="00465182"/>
    <w:pPr>
      <w:spacing w:after="125"/>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7979999">
      <w:bodyDiv w:val="1"/>
      <w:marLeft w:val="0"/>
      <w:marRight w:val="0"/>
      <w:marTop w:val="0"/>
      <w:marBottom w:val="0"/>
      <w:divBdr>
        <w:top w:val="none" w:sz="0" w:space="0" w:color="auto"/>
        <w:left w:val="none" w:sz="0" w:space="0" w:color="auto"/>
        <w:bottom w:val="none" w:sz="0" w:space="0" w:color="auto"/>
        <w:right w:val="none" w:sz="0" w:space="0" w:color="auto"/>
      </w:divBdr>
      <w:divsChild>
        <w:div w:id="101877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D3EC3-984D-4795-9393-E7DD866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Spplemental Leaves of Absence</vt:lpstr>
    </vt:vector>
  </TitlesOfParts>
  <Company>THA Group</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Spplemental Leaves of Absence</dc:title>
  <dc:creator>arhett</dc:creator>
  <cp:lastModifiedBy>Crystal Norwood</cp:lastModifiedBy>
  <cp:revision>4</cp:revision>
  <cp:lastPrinted>2014-09-08T15:44:00Z</cp:lastPrinted>
  <dcterms:created xsi:type="dcterms:W3CDTF">2016-09-30T20:42:00Z</dcterms:created>
  <dcterms:modified xsi:type="dcterms:W3CDTF">2016-11-03T14:30:00Z</dcterms:modified>
</cp:coreProperties>
</file>