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320"/>
        <w:gridCol w:w="2880"/>
        <w:gridCol w:w="4004"/>
      </w:tblGrid>
      <w:tr w:rsidR="00AC7338" w:rsidRPr="00AC7338" w:rsidTr="00AC7338">
        <w:tc>
          <w:tcPr>
            <w:tcW w:w="4320" w:type="dxa"/>
            <w:vMerge w:val="restart"/>
          </w:tcPr>
          <w:p w:rsidR="00AC7338" w:rsidRPr="00AC7338" w:rsidRDefault="00AC7338" w:rsidP="00AC7338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AC7338">
              <w:rPr>
                <w:rFonts w:ascii="Arial" w:hAnsi="Arial" w:cs="Arial"/>
                <w:b/>
                <w:sz w:val="36"/>
                <w:szCs w:val="22"/>
              </w:rPr>
              <w:t>Infection Control Supplies &amp; Personal Protective Equipment (PPE)</w:t>
            </w:r>
          </w:p>
        </w:tc>
        <w:tc>
          <w:tcPr>
            <w:tcW w:w="2880" w:type="dxa"/>
            <w:tcBorders>
              <w:right w:val="nil"/>
            </w:tcBorders>
          </w:tcPr>
          <w:p w:rsidR="00AC7338" w:rsidRPr="00AC7338" w:rsidRDefault="00AC7338" w:rsidP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b/>
                <w:sz w:val="24"/>
                <w:szCs w:val="22"/>
              </w:rPr>
              <w:t>Last Revision</w:t>
            </w:r>
            <w:r w:rsidRPr="00AC7338">
              <w:rPr>
                <w:rFonts w:ascii="Arial" w:hAnsi="Arial" w:cs="Arial"/>
                <w:sz w:val="24"/>
                <w:szCs w:val="22"/>
              </w:rPr>
              <w:t xml:space="preserve">: </w:t>
            </w:r>
          </w:p>
        </w:tc>
        <w:tc>
          <w:tcPr>
            <w:tcW w:w="4004" w:type="dxa"/>
            <w:tcBorders>
              <w:left w:val="nil"/>
            </w:tcBorders>
          </w:tcPr>
          <w:p w:rsidR="00AC7338" w:rsidRPr="00AC7338" w:rsidRDefault="00AC7338" w:rsidP="00F02B8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April 2015</w:t>
            </w:r>
          </w:p>
        </w:tc>
      </w:tr>
      <w:tr w:rsidR="00AC7338" w:rsidRPr="00AC7338" w:rsidTr="00AC7338">
        <w:tc>
          <w:tcPr>
            <w:tcW w:w="4320" w:type="dxa"/>
            <w:vMerge/>
          </w:tcPr>
          <w:p w:rsidR="00AC7338" w:rsidRPr="00AC7338" w:rsidRDefault="00AC7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AC7338" w:rsidRPr="00AC7338" w:rsidRDefault="00AC7338" w:rsidP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b/>
                <w:sz w:val="24"/>
                <w:szCs w:val="22"/>
              </w:rPr>
              <w:t>Last Reviewed</w:t>
            </w:r>
            <w:r w:rsidRPr="00AC7338">
              <w:rPr>
                <w:rFonts w:ascii="Arial" w:hAnsi="Arial" w:cs="Arial"/>
                <w:sz w:val="24"/>
                <w:szCs w:val="22"/>
              </w:rPr>
              <w:t xml:space="preserve">: </w:t>
            </w:r>
          </w:p>
        </w:tc>
        <w:tc>
          <w:tcPr>
            <w:tcW w:w="4004" w:type="dxa"/>
            <w:tcBorders>
              <w:left w:val="nil"/>
            </w:tcBorders>
          </w:tcPr>
          <w:p w:rsidR="00AC7338" w:rsidRPr="00AC7338" w:rsidRDefault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April 2015</w:t>
            </w:r>
          </w:p>
        </w:tc>
      </w:tr>
      <w:tr w:rsidR="00AC7338" w:rsidRPr="00AC7338" w:rsidTr="00AC7338">
        <w:tc>
          <w:tcPr>
            <w:tcW w:w="4320" w:type="dxa"/>
            <w:vMerge/>
          </w:tcPr>
          <w:p w:rsidR="00AC7338" w:rsidRPr="00AC7338" w:rsidRDefault="00AC7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AC7338" w:rsidRPr="00AC7338" w:rsidRDefault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b/>
                <w:sz w:val="24"/>
                <w:szCs w:val="22"/>
              </w:rPr>
              <w:t>Applies to the following THA Group of Companies</w:t>
            </w:r>
            <w:r w:rsidRPr="00AC7338">
              <w:rPr>
                <w:rFonts w:ascii="Arial" w:hAnsi="Arial" w:cs="Arial"/>
                <w:sz w:val="24"/>
                <w:szCs w:val="22"/>
              </w:rPr>
              <w:t xml:space="preserve">:  </w:t>
            </w:r>
          </w:p>
        </w:tc>
        <w:tc>
          <w:tcPr>
            <w:tcW w:w="4004" w:type="dxa"/>
            <w:tcBorders>
              <w:left w:val="nil"/>
            </w:tcBorders>
          </w:tcPr>
          <w:p w:rsidR="00AC7338" w:rsidRPr="00AC7338" w:rsidRDefault="00AC7338" w:rsidP="00AC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Island Health Care</w:t>
            </w:r>
          </w:p>
          <w:p w:rsidR="00AC7338" w:rsidRPr="00AC7338" w:rsidRDefault="00AC7338" w:rsidP="00AC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Island Hospice</w:t>
            </w:r>
          </w:p>
          <w:p w:rsidR="00AC7338" w:rsidRPr="00AC7338" w:rsidRDefault="00AC7338" w:rsidP="00AC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Independent Life at Home</w:t>
            </w:r>
          </w:p>
          <w:p w:rsidR="00AC7338" w:rsidRPr="00AC7338" w:rsidRDefault="00AC7338" w:rsidP="00AC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RightHealth</w:t>
            </w:r>
            <w:r w:rsidRPr="00AC7338">
              <w:rPr>
                <w:rFonts w:ascii="Arial" w:hAnsi="Arial" w:cs="Arial"/>
                <w:sz w:val="24"/>
                <w:szCs w:val="22"/>
                <w:vertAlign w:val="superscript"/>
              </w:rPr>
              <w:t>®</w:t>
            </w:r>
          </w:p>
        </w:tc>
      </w:tr>
      <w:tr w:rsidR="00AC7338" w:rsidRPr="00AC7338" w:rsidTr="00AC7338">
        <w:tc>
          <w:tcPr>
            <w:tcW w:w="4320" w:type="dxa"/>
            <w:vMerge/>
          </w:tcPr>
          <w:p w:rsidR="00AC7338" w:rsidRPr="00AC7338" w:rsidRDefault="00AC7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AC7338" w:rsidRPr="00AC7338" w:rsidRDefault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b/>
                <w:sz w:val="24"/>
                <w:szCs w:val="22"/>
              </w:rPr>
              <w:t>Included in the following manual</w:t>
            </w:r>
            <w:r w:rsidRPr="00AC7338">
              <w:rPr>
                <w:rFonts w:ascii="Arial" w:hAnsi="Arial" w:cs="Arial"/>
                <w:sz w:val="24"/>
                <w:szCs w:val="22"/>
              </w:rPr>
              <w:t>:</w:t>
            </w:r>
          </w:p>
          <w:p w:rsidR="00AC7338" w:rsidRPr="00AC7338" w:rsidRDefault="00AC7338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004" w:type="dxa"/>
            <w:tcBorders>
              <w:left w:val="nil"/>
            </w:tcBorders>
          </w:tcPr>
          <w:p w:rsidR="00AC7338" w:rsidRPr="00AC7338" w:rsidRDefault="00AC7338" w:rsidP="00AC7338">
            <w:pPr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Clinical Policy and Procedure Manual</w:t>
            </w:r>
          </w:p>
          <w:p w:rsidR="00AC7338" w:rsidRPr="00AC7338" w:rsidRDefault="00AC7338" w:rsidP="00AC7338">
            <w:pPr>
              <w:ind w:left="368"/>
              <w:rPr>
                <w:rFonts w:ascii="Arial" w:hAnsi="Arial" w:cs="Arial"/>
                <w:sz w:val="24"/>
                <w:szCs w:val="22"/>
              </w:rPr>
            </w:pPr>
            <w:r w:rsidRPr="00AC7338">
              <w:rPr>
                <w:rFonts w:ascii="Arial" w:hAnsi="Arial" w:cs="Arial"/>
                <w:sz w:val="24"/>
                <w:szCs w:val="22"/>
              </w:rPr>
              <w:t>Infection Control</w:t>
            </w:r>
          </w:p>
        </w:tc>
      </w:tr>
    </w:tbl>
    <w:p w:rsidR="009C3161" w:rsidRPr="00AC7338" w:rsidRDefault="009C3161" w:rsidP="00AC7338">
      <w:pPr>
        <w:spacing w:after="0" w:line="240" w:lineRule="auto"/>
        <w:rPr>
          <w:rFonts w:ascii="Arial" w:hAnsi="Arial" w:cs="Arial"/>
          <w:sz w:val="24"/>
          <w:szCs w:val="22"/>
        </w:rPr>
      </w:pPr>
    </w:p>
    <w:p w:rsidR="00AC7338" w:rsidRPr="00AC7338" w:rsidRDefault="00B2622F" w:rsidP="00AC7338">
      <w:pPr>
        <w:spacing w:after="0" w:line="240" w:lineRule="auto"/>
        <w:rPr>
          <w:rFonts w:ascii="Arial" w:hAnsi="Arial" w:cs="Arial"/>
          <w:b/>
          <w:sz w:val="24"/>
          <w:szCs w:val="22"/>
          <w:u w:val="single"/>
        </w:rPr>
      </w:pPr>
      <w:r w:rsidRPr="00AC7338">
        <w:rPr>
          <w:rFonts w:ascii="Arial" w:hAnsi="Arial" w:cs="Arial"/>
          <w:b/>
          <w:sz w:val="24"/>
          <w:szCs w:val="22"/>
          <w:u w:val="single"/>
        </w:rPr>
        <w:t>POLICY</w:t>
      </w:r>
    </w:p>
    <w:p w:rsidR="00AC7338" w:rsidRDefault="00AC7338" w:rsidP="00AC7338">
      <w:pPr>
        <w:spacing w:after="0" w:line="240" w:lineRule="auto"/>
        <w:rPr>
          <w:rFonts w:ascii="Arial" w:hAnsi="Arial" w:cs="Arial"/>
          <w:b/>
          <w:sz w:val="24"/>
          <w:szCs w:val="22"/>
        </w:rPr>
      </w:pPr>
    </w:p>
    <w:p w:rsidR="00B2622F" w:rsidRDefault="00B2622F" w:rsidP="00AC7338">
      <w:p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 xml:space="preserve">THA Group provides materials essential for personal protection from and control of infection at no cost to staff.  Employees </w:t>
      </w:r>
      <w:r w:rsidR="007D5AD3" w:rsidRPr="00AC7338">
        <w:rPr>
          <w:rFonts w:ascii="Arial" w:hAnsi="Arial" w:cs="Arial"/>
          <w:sz w:val="24"/>
          <w:szCs w:val="22"/>
        </w:rPr>
        <w:t>are required to use</w:t>
      </w:r>
      <w:r w:rsidRPr="00AC7338">
        <w:rPr>
          <w:rFonts w:ascii="Arial" w:hAnsi="Arial" w:cs="Arial"/>
          <w:sz w:val="24"/>
          <w:szCs w:val="22"/>
        </w:rPr>
        <w:t xml:space="preserve"> the provided equipment and supplies for infection control and personal protection. </w:t>
      </w:r>
    </w:p>
    <w:p w:rsidR="00AC7338" w:rsidRPr="00AC7338" w:rsidRDefault="00AC7338" w:rsidP="00AC7338">
      <w:pPr>
        <w:spacing w:after="0" w:line="240" w:lineRule="auto"/>
        <w:rPr>
          <w:rFonts w:ascii="Arial" w:hAnsi="Arial" w:cs="Arial"/>
          <w:sz w:val="24"/>
          <w:szCs w:val="22"/>
        </w:rPr>
      </w:pPr>
    </w:p>
    <w:p w:rsidR="0075080B" w:rsidRPr="00AC7338" w:rsidRDefault="0075080B" w:rsidP="00AC7338">
      <w:p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Infection control supplies include, but are not limited to, the following: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Antibacterial Hand Soap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Waterless Hand Cleanser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Paper Towels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Exam Gloves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Germicidal Wipes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Plastic Bags (Barrier)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Biohazard Spill Kit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Particulate Mask (N95 TB mask)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Sharp’s Containers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CPR Shields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Goggles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Impervious Aprons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Surgical Masks</w:t>
      </w:r>
    </w:p>
    <w:p w:rsidR="0075080B" w:rsidRPr="00AC7338" w:rsidRDefault="0075080B" w:rsidP="00AC73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Shoe Covers</w:t>
      </w:r>
    </w:p>
    <w:p w:rsidR="0075080B" w:rsidRPr="00AC7338" w:rsidRDefault="0075080B" w:rsidP="00AC7338">
      <w:pPr>
        <w:spacing w:after="0" w:line="240" w:lineRule="auto"/>
        <w:rPr>
          <w:rFonts w:ascii="Arial" w:hAnsi="Arial" w:cs="Arial"/>
          <w:sz w:val="24"/>
          <w:szCs w:val="22"/>
        </w:rPr>
      </w:pPr>
    </w:p>
    <w:p w:rsidR="0075080B" w:rsidRDefault="00AC7338" w:rsidP="00AC7338">
      <w:pPr>
        <w:spacing w:after="0" w:line="240" w:lineRule="auto"/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sz w:val="24"/>
          <w:szCs w:val="22"/>
          <w:u w:val="single"/>
        </w:rPr>
        <w:t>PROCEDURE</w:t>
      </w:r>
    </w:p>
    <w:p w:rsidR="00AC7338" w:rsidRPr="00AC7338" w:rsidRDefault="00AC7338" w:rsidP="00AC7338">
      <w:pPr>
        <w:spacing w:after="0" w:line="240" w:lineRule="auto"/>
        <w:rPr>
          <w:rFonts w:ascii="Arial" w:hAnsi="Arial" w:cs="Arial"/>
          <w:b/>
          <w:sz w:val="24"/>
          <w:szCs w:val="22"/>
          <w:u w:val="single"/>
        </w:rPr>
      </w:pPr>
    </w:p>
    <w:p w:rsidR="0075080B" w:rsidRPr="00AC7338" w:rsidRDefault="00F02B88" w:rsidP="00AC73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 xml:space="preserve">Community </w:t>
      </w:r>
      <w:r w:rsidR="0075080B" w:rsidRPr="00AC7338">
        <w:rPr>
          <w:rFonts w:ascii="Arial" w:hAnsi="Arial" w:cs="Arial"/>
          <w:sz w:val="24"/>
          <w:szCs w:val="22"/>
        </w:rPr>
        <w:t>offices are responsible for procuring consumable supplies for staff.</w:t>
      </w:r>
    </w:p>
    <w:p w:rsidR="0075080B" w:rsidRPr="00AC7338" w:rsidRDefault="0075080B" w:rsidP="00AC73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Staff are expected to use Personal Protective Equipment, such as goggles, aprons and masks, to protect themselves from potentially infectious substances.</w:t>
      </w:r>
      <w:r w:rsidR="007D5AD3" w:rsidRPr="00AC7338">
        <w:rPr>
          <w:rFonts w:ascii="Arial" w:hAnsi="Arial" w:cs="Arial"/>
          <w:sz w:val="24"/>
          <w:szCs w:val="22"/>
        </w:rPr>
        <w:t xml:space="preserve"> These substances may be blood, other body fluids, other materials contaminated with body fluids, or airborne pathogens.</w:t>
      </w:r>
    </w:p>
    <w:p w:rsidR="0075080B" w:rsidRPr="00AC7338" w:rsidRDefault="007D5AD3" w:rsidP="00AC73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>Gloves are worn when touching non-intact skin, mucous membranes, any body fluids, when handling respiratory equipment.</w:t>
      </w:r>
    </w:p>
    <w:p w:rsidR="00C8260F" w:rsidRPr="00AC7338" w:rsidRDefault="00C8260F" w:rsidP="00AC73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2"/>
        </w:rPr>
      </w:pPr>
      <w:r w:rsidRPr="00AC7338">
        <w:rPr>
          <w:rFonts w:ascii="Arial" w:hAnsi="Arial" w:cs="Arial"/>
          <w:sz w:val="24"/>
          <w:szCs w:val="22"/>
        </w:rPr>
        <w:t xml:space="preserve">Universal precautions are the standard of care at all times. </w:t>
      </w:r>
    </w:p>
    <w:sectPr w:rsidR="00C8260F" w:rsidRPr="00AC7338" w:rsidSect="00AC7338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38" w:rsidRDefault="00AC7338" w:rsidP="00AC7338">
      <w:pPr>
        <w:spacing w:after="0" w:line="240" w:lineRule="auto"/>
      </w:pPr>
      <w:r>
        <w:separator/>
      </w:r>
    </w:p>
  </w:endnote>
  <w:endnote w:type="continuationSeparator" w:id="0">
    <w:p w:rsidR="00AC7338" w:rsidRDefault="00AC7338" w:rsidP="00A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38" w:rsidRPr="00AC7338" w:rsidRDefault="00AC7338">
    <w:pPr>
      <w:pStyle w:val="Footer"/>
      <w:rPr>
        <w:rFonts w:ascii="Arial" w:hAnsi="Arial" w:cs="Arial"/>
        <w:sz w:val="16"/>
      </w:rPr>
    </w:pPr>
    <w:fldSimple w:instr=" FILENAME  \p  \* MERGEFORMAT ">
      <w:r w:rsidRPr="00AC7338">
        <w:rPr>
          <w:rFonts w:ascii="Arial" w:hAnsi="Arial" w:cs="Arial"/>
          <w:noProof/>
          <w:sz w:val="16"/>
        </w:rPr>
        <w:t>G:\Policies-Forms Under Construction\Crystal's Drafts\Approved by CC 20150410\Infection Control Supplies and PPE_ March.docx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38" w:rsidRDefault="00AC7338" w:rsidP="00AC7338">
      <w:pPr>
        <w:spacing w:after="0" w:line="240" w:lineRule="auto"/>
      </w:pPr>
      <w:r>
        <w:separator/>
      </w:r>
    </w:p>
  </w:footnote>
  <w:footnote w:type="continuationSeparator" w:id="0">
    <w:p w:rsidR="00AC7338" w:rsidRDefault="00AC7338" w:rsidP="00AC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515"/>
    <w:multiLevelType w:val="hybridMultilevel"/>
    <w:tmpl w:val="B1A4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158"/>
    <w:multiLevelType w:val="hybridMultilevel"/>
    <w:tmpl w:val="D1C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4C6A"/>
    <w:multiLevelType w:val="hybridMultilevel"/>
    <w:tmpl w:val="274E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23"/>
    <w:rsid w:val="000B1E3E"/>
    <w:rsid w:val="003D2A23"/>
    <w:rsid w:val="004905D2"/>
    <w:rsid w:val="004E208F"/>
    <w:rsid w:val="00665CE7"/>
    <w:rsid w:val="00725899"/>
    <w:rsid w:val="0075080B"/>
    <w:rsid w:val="007D5AD3"/>
    <w:rsid w:val="00834941"/>
    <w:rsid w:val="009C3161"/>
    <w:rsid w:val="00AC7338"/>
    <w:rsid w:val="00AC7BFF"/>
    <w:rsid w:val="00B2622F"/>
    <w:rsid w:val="00BD03FA"/>
    <w:rsid w:val="00BE70E9"/>
    <w:rsid w:val="00C11501"/>
    <w:rsid w:val="00C65134"/>
    <w:rsid w:val="00C8260F"/>
    <w:rsid w:val="00E159A8"/>
    <w:rsid w:val="00F02B88"/>
    <w:rsid w:val="00F060EE"/>
    <w:rsid w:val="00FC0CB2"/>
    <w:rsid w:val="00F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338"/>
  </w:style>
  <w:style w:type="paragraph" w:styleId="Footer">
    <w:name w:val="footer"/>
    <w:basedOn w:val="Normal"/>
    <w:link w:val="FooterChar"/>
    <w:uiPriority w:val="99"/>
    <w:semiHidden/>
    <w:unhideWhenUsed/>
    <w:rsid w:val="00AC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dshelley</dc:creator>
  <cp:lastModifiedBy>Crystal Norwood</cp:lastModifiedBy>
  <cp:revision>4</cp:revision>
  <dcterms:created xsi:type="dcterms:W3CDTF">2015-04-01T18:30:00Z</dcterms:created>
  <dcterms:modified xsi:type="dcterms:W3CDTF">2015-04-28T18:10:00Z</dcterms:modified>
</cp:coreProperties>
</file>