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4A0"/>
      </w:tblPr>
      <w:tblGrid>
        <w:gridCol w:w="4011"/>
        <w:gridCol w:w="2726"/>
        <w:gridCol w:w="4279"/>
      </w:tblGrid>
      <w:tr w:rsidR="00C50DD3" w:rsidTr="008D35CC">
        <w:trPr>
          <w:cantSplit/>
          <w:trHeight w:hRule="exact" w:val="360"/>
        </w:trPr>
        <w:tc>
          <w:tcPr>
            <w:tcW w:w="4320" w:type="dxa"/>
            <w:vMerge w:val="restart"/>
            <w:tcBorders>
              <w:top w:val="single" w:sz="4" w:space="0" w:color="auto"/>
              <w:left w:val="single" w:sz="4" w:space="0" w:color="auto"/>
              <w:right w:val="single" w:sz="4" w:space="0" w:color="auto"/>
            </w:tcBorders>
            <w:hideMark/>
          </w:tcPr>
          <w:p w:rsidR="00C50DD3" w:rsidRPr="00C50DD3" w:rsidRDefault="00C50DD3" w:rsidP="00096E0B">
            <w:pPr>
              <w:pStyle w:val="Heading3"/>
              <w:rPr>
                <w:snapToGrid w:val="0"/>
                <w:sz w:val="36"/>
                <w:szCs w:val="36"/>
              </w:rPr>
            </w:pPr>
            <w:r w:rsidRPr="00C50DD3">
              <w:rPr>
                <w:snapToGrid w:val="0"/>
                <w:sz w:val="36"/>
                <w:szCs w:val="36"/>
              </w:rPr>
              <w:t>Comfort Kit (For Hospice Patients)</w:t>
            </w:r>
          </w:p>
        </w:tc>
        <w:tc>
          <w:tcPr>
            <w:tcW w:w="2880" w:type="dxa"/>
            <w:tcBorders>
              <w:top w:val="single" w:sz="4" w:space="0" w:color="auto"/>
              <w:left w:val="single" w:sz="4" w:space="0" w:color="auto"/>
              <w:bottom w:val="single" w:sz="4" w:space="0" w:color="auto"/>
              <w:right w:val="nil"/>
            </w:tcBorders>
            <w:hideMark/>
          </w:tcPr>
          <w:p w:rsidR="00C50DD3" w:rsidRPr="00C50DD3" w:rsidRDefault="00C50DD3" w:rsidP="00C50DD3">
            <w:pPr>
              <w:snapToGrid w:val="0"/>
              <w:spacing w:before="40"/>
              <w:rPr>
                <w:rFonts w:ascii="Arial" w:hAnsi="Arial" w:cs="Arial"/>
                <w:b/>
                <w:bCs/>
                <w:szCs w:val="24"/>
              </w:rPr>
            </w:pPr>
            <w:r w:rsidRPr="00C50DD3">
              <w:rPr>
                <w:rFonts w:ascii="Arial" w:hAnsi="Arial" w:cs="Arial"/>
                <w:b/>
                <w:bCs/>
                <w:szCs w:val="24"/>
              </w:rPr>
              <w:t>Last Revision:</w:t>
            </w:r>
          </w:p>
        </w:tc>
        <w:tc>
          <w:tcPr>
            <w:tcW w:w="4598" w:type="dxa"/>
            <w:tcBorders>
              <w:top w:val="single" w:sz="4" w:space="0" w:color="auto"/>
              <w:left w:val="nil"/>
              <w:bottom w:val="single" w:sz="4" w:space="0" w:color="auto"/>
              <w:right w:val="single" w:sz="4" w:space="0" w:color="auto"/>
            </w:tcBorders>
            <w:hideMark/>
          </w:tcPr>
          <w:p w:rsidR="00C50DD3" w:rsidRPr="00C50DD3" w:rsidRDefault="00C50DD3">
            <w:pPr>
              <w:snapToGrid w:val="0"/>
              <w:spacing w:before="40"/>
              <w:rPr>
                <w:rFonts w:ascii="Arial" w:hAnsi="Arial" w:cs="Arial"/>
                <w:szCs w:val="24"/>
              </w:rPr>
            </w:pPr>
            <w:r w:rsidRPr="00C50DD3">
              <w:rPr>
                <w:rFonts w:ascii="Arial" w:hAnsi="Arial" w:cs="Arial"/>
                <w:szCs w:val="24"/>
              </w:rPr>
              <w:t>January 2015</w:t>
            </w:r>
          </w:p>
        </w:tc>
      </w:tr>
      <w:tr w:rsidR="00C50DD3" w:rsidTr="008D35CC">
        <w:trPr>
          <w:cantSplit/>
          <w:trHeight w:hRule="exact" w:val="360"/>
        </w:trPr>
        <w:tc>
          <w:tcPr>
            <w:tcW w:w="4320" w:type="dxa"/>
            <w:vMerge/>
            <w:tcBorders>
              <w:left w:val="single" w:sz="4" w:space="0" w:color="auto"/>
              <w:right w:val="single" w:sz="4" w:space="0" w:color="auto"/>
            </w:tcBorders>
            <w:vAlign w:val="center"/>
            <w:hideMark/>
          </w:tcPr>
          <w:p w:rsidR="00C50DD3" w:rsidRDefault="00C50DD3">
            <w:pPr>
              <w:rPr>
                <w:rFonts w:ascii="Arial" w:hAnsi="Arial" w:cs="Arial"/>
                <w:b/>
                <w:bCs/>
                <w:noProof/>
                <w:spacing w:val="-1"/>
                <w:sz w:val="32"/>
                <w:szCs w:val="23"/>
              </w:rPr>
            </w:pPr>
          </w:p>
        </w:tc>
        <w:tc>
          <w:tcPr>
            <w:tcW w:w="2880" w:type="dxa"/>
            <w:tcBorders>
              <w:top w:val="single" w:sz="4" w:space="0" w:color="auto"/>
              <w:left w:val="single" w:sz="4" w:space="0" w:color="auto"/>
              <w:bottom w:val="single" w:sz="4" w:space="0" w:color="auto"/>
              <w:right w:val="nil"/>
            </w:tcBorders>
            <w:hideMark/>
          </w:tcPr>
          <w:p w:rsidR="00C50DD3" w:rsidRPr="00C50DD3" w:rsidRDefault="00C50DD3">
            <w:pPr>
              <w:snapToGrid w:val="0"/>
              <w:spacing w:before="40"/>
              <w:rPr>
                <w:rFonts w:ascii="Arial" w:hAnsi="Arial" w:cs="Arial"/>
                <w:b/>
                <w:bCs/>
                <w:szCs w:val="24"/>
              </w:rPr>
            </w:pPr>
            <w:r>
              <w:rPr>
                <w:rFonts w:ascii="Arial" w:hAnsi="Arial" w:cs="Arial"/>
                <w:b/>
                <w:bCs/>
                <w:szCs w:val="24"/>
              </w:rPr>
              <w:t>Last Reviewed:</w:t>
            </w:r>
          </w:p>
        </w:tc>
        <w:tc>
          <w:tcPr>
            <w:tcW w:w="4598" w:type="dxa"/>
            <w:tcBorders>
              <w:top w:val="single" w:sz="4" w:space="0" w:color="auto"/>
              <w:left w:val="nil"/>
              <w:bottom w:val="single" w:sz="4" w:space="0" w:color="auto"/>
              <w:right w:val="single" w:sz="4" w:space="0" w:color="auto"/>
            </w:tcBorders>
            <w:hideMark/>
          </w:tcPr>
          <w:p w:rsidR="00C50DD3" w:rsidRPr="00C50DD3" w:rsidRDefault="00C50DD3" w:rsidP="00C50DD3">
            <w:pPr>
              <w:snapToGrid w:val="0"/>
              <w:rPr>
                <w:rFonts w:ascii="Arial" w:hAnsi="Arial" w:cs="Arial"/>
                <w:szCs w:val="24"/>
              </w:rPr>
            </w:pPr>
            <w:r>
              <w:rPr>
                <w:rFonts w:ascii="Arial" w:hAnsi="Arial" w:cs="Arial"/>
                <w:szCs w:val="24"/>
              </w:rPr>
              <w:t>January 2015</w:t>
            </w:r>
          </w:p>
        </w:tc>
      </w:tr>
      <w:tr w:rsidR="00C50DD3" w:rsidTr="00C50DD3">
        <w:trPr>
          <w:cantSplit/>
          <w:trHeight w:val="584"/>
        </w:trPr>
        <w:tc>
          <w:tcPr>
            <w:tcW w:w="4320" w:type="dxa"/>
            <w:vMerge/>
            <w:tcBorders>
              <w:left w:val="single" w:sz="4" w:space="0" w:color="auto"/>
              <w:right w:val="single" w:sz="4" w:space="0" w:color="auto"/>
            </w:tcBorders>
            <w:vAlign w:val="center"/>
            <w:hideMark/>
          </w:tcPr>
          <w:p w:rsidR="00C50DD3" w:rsidRDefault="00C50DD3">
            <w:pPr>
              <w:rPr>
                <w:rFonts w:ascii="Arial" w:hAnsi="Arial" w:cs="Arial"/>
                <w:b/>
                <w:bCs/>
                <w:noProof/>
                <w:spacing w:val="-1"/>
                <w:sz w:val="32"/>
                <w:szCs w:val="23"/>
              </w:rPr>
            </w:pPr>
          </w:p>
        </w:tc>
        <w:tc>
          <w:tcPr>
            <w:tcW w:w="2880" w:type="dxa"/>
            <w:tcBorders>
              <w:top w:val="single" w:sz="4" w:space="0" w:color="auto"/>
              <w:left w:val="single" w:sz="4" w:space="0" w:color="auto"/>
              <w:bottom w:val="single" w:sz="4" w:space="0" w:color="auto"/>
              <w:right w:val="nil"/>
            </w:tcBorders>
            <w:hideMark/>
          </w:tcPr>
          <w:p w:rsidR="00C50DD3" w:rsidRPr="00C50DD3" w:rsidRDefault="00C50DD3" w:rsidP="00C50DD3">
            <w:pPr>
              <w:snapToGrid w:val="0"/>
              <w:spacing w:before="40"/>
              <w:rPr>
                <w:rFonts w:ascii="Arial" w:hAnsi="Arial" w:cs="Arial"/>
                <w:b/>
                <w:bCs/>
                <w:szCs w:val="24"/>
              </w:rPr>
            </w:pPr>
            <w:r w:rsidRPr="00C50DD3">
              <w:rPr>
                <w:rFonts w:ascii="Arial" w:hAnsi="Arial" w:cs="Arial"/>
                <w:b/>
                <w:bCs/>
                <w:szCs w:val="24"/>
              </w:rPr>
              <w:t xml:space="preserve">Applies to the following THA Group of Companies: </w:t>
            </w:r>
          </w:p>
        </w:tc>
        <w:tc>
          <w:tcPr>
            <w:tcW w:w="4598" w:type="dxa"/>
            <w:tcBorders>
              <w:top w:val="single" w:sz="4" w:space="0" w:color="auto"/>
              <w:left w:val="nil"/>
              <w:bottom w:val="single" w:sz="4" w:space="0" w:color="auto"/>
              <w:right w:val="single" w:sz="4" w:space="0" w:color="auto"/>
            </w:tcBorders>
            <w:hideMark/>
          </w:tcPr>
          <w:p w:rsidR="00C50DD3" w:rsidRPr="00C50DD3" w:rsidRDefault="00C50DD3" w:rsidP="008D4105">
            <w:pPr>
              <w:snapToGrid w:val="0"/>
              <w:rPr>
                <w:rFonts w:ascii="Arial" w:hAnsi="Arial" w:cs="Arial"/>
                <w:szCs w:val="24"/>
              </w:rPr>
            </w:pPr>
            <w:r w:rsidRPr="00C50DD3">
              <w:rPr>
                <w:rFonts w:ascii="Arial" w:hAnsi="Arial" w:cs="Arial"/>
                <w:szCs w:val="24"/>
              </w:rPr>
              <w:t>Island Hospice</w:t>
            </w:r>
          </w:p>
        </w:tc>
      </w:tr>
      <w:tr w:rsidR="00C50DD3" w:rsidTr="00C50DD3">
        <w:trPr>
          <w:cantSplit/>
          <w:trHeight w:val="1070"/>
        </w:trPr>
        <w:tc>
          <w:tcPr>
            <w:tcW w:w="4320" w:type="dxa"/>
            <w:vMerge/>
            <w:tcBorders>
              <w:left w:val="single" w:sz="4" w:space="0" w:color="auto"/>
              <w:bottom w:val="single" w:sz="4" w:space="0" w:color="auto"/>
              <w:right w:val="single" w:sz="4" w:space="0" w:color="auto"/>
            </w:tcBorders>
            <w:vAlign w:val="center"/>
          </w:tcPr>
          <w:p w:rsidR="00C50DD3" w:rsidRDefault="00C50DD3">
            <w:pPr>
              <w:rPr>
                <w:rFonts w:ascii="Arial" w:hAnsi="Arial" w:cs="Arial"/>
                <w:b/>
                <w:bCs/>
                <w:noProof/>
                <w:spacing w:val="-1"/>
                <w:sz w:val="32"/>
                <w:szCs w:val="23"/>
              </w:rPr>
            </w:pPr>
          </w:p>
        </w:tc>
        <w:tc>
          <w:tcPr>
            <w:tcW w:w="2880" w:type="dxa"/>
            <w:tcBorders>
              <w:top w:val="single" w:sz="4" w:space="0" w:color="auto"/>
              <w:left w:val="single" w:sz="4" w:space="0" w:color="auto"/>
              <w:bottom w:val="single" w:sz="4" w:space="0" w:color="auto"/>
              <w:right w:val="nil"/>
            </w:tcBorders>
            <w:hideMark/>
          </w:tcPr>
          <w:p w:rsidR="00C50DD3" w:rsidRPr="00C50DD3" w:rsidRDefault="00C50DD3">
            <w:pPr>
              <w:snapToGrid w:val="0"/>
              <w:spacing w:before="40"/>
              <w:rPr>
                <w:rFonts w:ascii="Arial" w:hAnsi="Arial" w:cs="Arial"/>
                <w:b/>
                <w:bCs/>
                <w:szCs w:val="24"/>
              </w:rPr>
            </w:pPr>
            <w:r w:rsidRPr="00C50DD3">
              <w:rPr>
                <w:rFonts w:ascii="Arial" w:hAnsi="Arial" w:cs="Arial"/>
                <w:b/>
                <w:bCs/>
                <w:szCs w:val="24"/>
              </w:rPr>
              <w:t>Included in the following THA Manuals:</w:t>
            </w:r>
          </w:p>
        </w:tc>
        <w:tc>
          <w:tcPr>
            <w:tcW w:w="4598" w:type="dxa"/>
            <w:tcBorders>
              <w:top w:val="single" w:sz="4" w:space="0" w:color="auto"/>
              <w:left w:val="nil"/>
              <w:bottom w:val="single" w:sz="4" w:space="0" w:color="auto"/>
              <w:right w:val="single" w:sz="4" w:space="0" w:color="auto"/>
            </w:tcBorders>
            <w:hideMark/>
          </w:tcPr>
          <w:p w:rsidR="00C50DD3" w:rsidRPr="00C50DD3" w:rsidRDefault="00C50DD3" w:rsidP="00C50DD3">
            <w:pPr>
              <w:rPr>
                <w:rFonts w:ascii="Arial" w:hAnsi="Arial" w:cs="Arial"/>
                <w:szCs w:val="24"/>
              </w:rPr>
            </w:pPr>
            <w:r w:rsidRPr="00C50DD3">
              <w:rPr>
                <w:rFonts w:ascii="Arial" w:hAnsi="Arial" w:cs="Arial"/>
                <w:szCs w:val="24"/>
              </w:rPr>
              <w:t>Clinical Policy and Procedure Manual</w:t>
            </w:r>
          </w:p>
          <w:p w:rsidR="00C50DD3" w:rsidRPr="00C50DD3" w:rsidRDefault="00C50DD3" w:rsidP="00C50DD3">
            <w:pPr>
              <w:snapToGrid w:val="0"/>
              <w:ind w:left="307"/>
              <w:rPr>
                <w:rFonts w:ascii="Arial" w:hAnsi="Arial" w:cs="Arial"/>
                <w:szCs w:val="24"/>
              </w:rPr>
            </w:pPr>
            <w:r w:rsidRPr="00C50DD3">
              <w:rPr>
                <w:rFonts w:ascii="Arial" w:hAnsi="Arial" w:cs="Arial"/>
                <w:szCs w:val="24"/>
              </w:rPr>
              <w:t xml:space="preserve">Medication Management </w:t>
            </w:r>
          </w:p>
        </w:tc>
      </w:tr>
    </w:tbl>
    <w:p w:rsidR="00096E0B" w:rsidRPr="00C50DD3" w:rsidRDefault="00096E0B" w:rsidP="00C50DD3">
      <w:pPr>
        <w:pStyle w:val="Heading4"/>
        <w:rPr>
          <w:rFonts w:ascii="Arial" w:hAnsi="Arial" w:cs="Arial"/>
          <w:sz w:val="24"/>
          <w:szCs w:val="24"/>
        </w:rPr>
      </w:pPr>
    </w:p>
    <w:p w:rsidR="00E86FF2" w:rsidRPr="00C50DD3" w:rsidRDefault="00E86FF2" w:rsidP="00C50DD3">
      <w:pPr>
        <w:pStyle w:val="Heading4"/>
        <w:rPr>
          <w:rFonts w:ascii="Arial" w:hAnsi="Arial" w:cs="Arial"/>
          <w:sz w:val="24"/>
          <w:szCs w:val="24"/>
        </w:rPr>
      </w:pPr>
      <w:r w:rsidRPr="00C50DD3">
        <w:rPr>
          <w:rFonts w:ascii="Arial" w:hAnsi="Arial" w:cs="Arial"/>
          <w:sz w:val="24"/>
          <w:szCs w:val="24"/>
        </w:rPr>
        <w:t xml:space="preserve">POLICY </w:t>
      </w:r>
    </w:p>
    <w:p w:rsidR="00E86FF2" w:rsidRPr="00C50DD3" w:rsidRDefault="00E86FF2" w:rsidP="00C50DD3">
      <w:pPr>
        <w:ind w:right="-720"/>
        <w:rPr>
          <w:rFonts w:ascii="Arial" w:hAnsi="Arial" w:cs="Arial"/>
          <w:szCs w:val="24"/>
        </w:rPr>
      </w:pPr>
    </w:p>
    <w:p w:rsidR="00E86FF2" w:rsidRPr="00C50DD3" w:rsidRDefault="00BE579D" w:rsidP="00C50DD3">
      <w:pPr>
        <w:ind w:right="18"/>
        <w:rPr>
          <w:rFonts w:ascii="Arial" w:hAnsi="Arial" w:cs="Arial"/>
          <w:szCs w:val="24"/>
        </w:rPr>
      </w:pPr>
      <w:r w:rsidRPr="00C50DD3">
        <w:rPr>
          <w:rFonts w:ascii="Arial" w:hAnsi="Arial" w:cs="Arial"/>
          <w:szCs w:val="24"/>
        </w:rPr>
        <w:t xml:space="preserve">Hospice patients </w:t>
      </w:r>
      <w:r w:rsidR="00AC7427" w:rsidRPr="00C50DD3">
        <w:rPr>
          <w:rFonts w:ascii="Arial" w:hAnsi="Arial" w:cs="Arial"/>
          <w:szCs w:val="24"/>
        </w:rPr>
        <w:t>are</w:t>
      </w:r>
      <w:r w:rsidRPr="00C50DD3">
        <w:rPr>
          <w:rFonts w:ascii="Arial" w:hAnsi="Arial" w:cs="Arial"/>
          <w:szCs w:val="24"/>
        </w:rPr>
        <w:t xml:space="preserve"> </w:t>
      </w:r>
      <w:r w:rsidR="00AC7427" w:rsidRPr="00C50DD3">
        <w:rPr>
          <w:rFonts w:ascii="Arial" w:hAnsi="Arial" w:cs="Arial"/>
          <w:szCs w:val="24"/>
        </w:rPr>
        <w:t xml:space="preserve">pro-actively </w:t>
      </w:r>
      <w:r w:rsidRPr="00C50DD3">
        <w:rPr>
          <w:rFonts w:ascii="Arial" w:hAnsi="Arial" w:cs="Arial"/>
          <w:szCs w:val="24"/>
        </w:rPr>
        <w:t xml:space="preserve">managed </w:t>
      </w:r>
      <w:r w:rsidR="00C24E44" w:rsidRPr="00C50DD3">
        <w:rPr>
          <w:rFonts w:ascii="Arial" w:hAnsi="Arial" w:cs="Arial"/>
          <w:szCs w:val="24"/>
        </w:rPr>
        <w:t xml:space="preserve">for pain </w:t>
      </w:r>
      <w:r w:rsidR="008749F9" w:rsidRPr="00C50DD3">
        <w:rPr>
          <w:rFonts w:ascii="Arial" w:hAnsi="Arial" w:cs="Arial"/>
          <w:szCs w:val="24"/>
        </w:rPr>
        <w:t xml:space="preserve">and </w:t>
      </w:r>
      <w:r w:rsidR="00C24E44" w:rsidRPr="00C50DD3">
        <w:rPr>
          <w:rFonts w:ascii="Arial" w:hAnsi="Arial" w:cs="Arial"/>
          <w:szCs w:val="24"/>
        </w:rPr>
        <w:t xml:space="preserve">other </w:t>
      </w:r>
      <w:r w:rsidR="008749F9" w:rsidRPr="00C50DD3">
        <w:rPr>
          <w:rFonts w:ascii="Arial" w:hAnsi="Arial" w:cs="Arial"/>
          <w:szCs w:val="24"/>
        </w:rPr>
        <w:t xml:space="preserve">deleterious </w:t>
      </w:r>
      <w:r w:rsidR="00C24E44" w:rsidRPr="00C50DD3">
        <w:rPr>
          <w:rFonts w:ascii="Arial" w:hAnsi="Arial" w:cs="Arial"/>
          <w:szCs w:val="24"/>
        </w:rPr>
        <w:t xml:space="preserve">symptoms </w:t>
      </w:r>
      <w:r w:rsidRPr="00C50DD3">
        <w:rPr>
          <w:rFonts w:ascii="Arial" w:hAnsi="Arial" w:cs="Arial"/>
          <w:szCs w:val="24"/>
        </w:rPr>
        <w:t>effectively and expeditiously d</w:t>
      </w:r>
      <w:r w:rsidR="00AC7427" w:rsidRPr="00C50DD3">
        <w:rPr>
          <w:rFonts w:ascii="Arial" w:hAnsi="Arial" w:cs="Arial"/>
          <w:szCs w:val="24"/>
        </w:rPr>
        <w:t>uring times of physical crisis through the use of the Hospice Patient Comfort Kit.</w:t>
      </w:r>
    </w:p>
    <w:p w:rsidR="00E86FF2" w:rsidRPr="00C50DD3" w:rsidRDefault="00E86FF2" w:rsidP="00C50DD3">
      <w:pPr>
        <w:ind w:right="18"/>
        <w:rPr>
          <w:rFonts w:ascii="Arial" w:hAnsi="Arial" w:cs="Arial"/>
          <w:szCs w:val="24"/>
        </w:rPr>
      </w:pPr>
    </w:p>
    <w:p w:rsidR="00E86FF2" w:rsidRPr="00C50DD3" w:rsidRDefault="00E86FF2" w:rsidP="00C50DD3">
      <w:pPr>
        <w:ind w:right="18"/>
        <w:rPr>
          <w:rFonts w:ascii="Arial" w:hAnsi="Arial" w:cs="Arial"/>
          <w:szCs w:val="24"/>
        </w:rPr>
      </w:pPr>
      <w:r w:rsidRPr="00C50DD3">
        <w:rPr>
          <w:rFonts w:ascii="Arial" w:hAnsi="Arial" w:cs="Arial"/>
          <w:b/>
          <w:szCs w:val="24"/>
          <w:u w:val="single"/>
        </w:rPr>
        <w:t xml:space="preserve">PURPOSE </w:t>
      </w:r>
    </w:p>
    <w:p w:rsidR="00E86FF2" w:rsidRPr="00C50DD3" w:rsidRDefault="00E86FF2" w:rsidP="00C50DD3">
      <w:pPr>
        <w:ind w:right="18"/>
        <w:rPr>
          <w:rFonts w:ascii="Arial" w:hAnsi="Arial" w:cs="Arial"/>
          <w:szCs w:val="24"/>
        </w:rPr>
      </w:pPr>
    </w:p>
    <w:p w:rsidR="00AC7427" w:rsidRPr="00C50DD3" w:rsidRDefault="00AC7427" w:rsidP="00C50DD3">
      <w:pPr>
        <w:ind w:right="18"/>
        <w:rPr>
          <w:rFonts w:ascii="Arial" w:hAnsi="Arial" w:cs="Arial"/>
          <w:szCs w:val="24"/>
        </w:rPr>
      </w:pPr>
      <w:r w:rsidRPr="00C50DD3">
        <w:rPr>
          <w:rFonts w:ascii="Arial" w:hAnsi="Arial" w:cs="Arial"/>
          <w:szCs w:val="24"/>
        </w:rPr>
        <w:t>To outline the process and procedure for ensuring prompt, effective management of Hospice patients in crisis related to pain or other symptoms by utilizing the Comfort Kit that is already placed in the patient’s home and is available for use as needed.</w:t>
      </w:r>
    </w:p>
    <w:p w:rsidR="00E86FF2" w:rsidRPr="00C50DD3" w:rsidRDefault="00E86FF2" w:rsidP="00C50DD3">
      <w:pPr>
        <w:ind w:right="14"/>
        <w:rPr>
          <w:rFonts w:ascii="Arial" w:hAnsi="Arial" w:cs="Arial"/>
          <w:szCs w:val="24"/>
        </w:rPr>
      </w:pPr>
      <w:r w:rsidRPr="00C50DD3">
        <w:rPr>
          <w:rFonts w:ascii="Arial" w:hAnsi="Arial" w:cs="Arial"/>
          <w:szCs w:val="24"/>
        </w:rPr>
        <w:t xml:space="preserve"> </w:t>
      </w:r>
    </w:p>
    <w:p w:rsidR="00E86FF2" w:rsidRPr="00C50DD3" w:rsidRDefault="00E86FF2" w:rsidP="00C50DD3">
      <w:pPr>
        <w:pStyle w:val="Heading1"/>
        <w:rPr>
          <w:rFonts w:ascii="Arial" w:hAnsi="Arial" w:cs="Arial"/>
          <w:szCs w:val="24"/>
        </w:rPr>
      </w:pPr>
      <w:r w:rsidRPr="00C50DD3">
        <w:rPr>
          <w:rFonts w:ascii="Arial" w:hAnsi="Arial" w:cs="Arial"/>
          <w:szCs w:val="24"/>
        </w:rPr>
        <w:t>PROCEDURE</w:t>
      </w:r>
    </w:p>
    <w:p w:rsidR="00AC7427" w:rsidRPr="00C50DD3" w:rsidRDefault="002E466E" w:rsidP="00C50DD3">
      <w:pPr>
        <w:ind w:right="18"/>
        <w:rPr>
          <w:rFonts w:ascii="Arial" w:hAnsi="Arial" w:cs="Arial"/>
          <w:szCs w:val="24"/>
        </w:rPr>
      </w:pPr>
      <w:r w:rsidRPr="00C50DD3">
        <w:rPr>
          <w:szCs w:val="24"/>
        </w:rPr>
        <w:t xml:space="preserve"> </w:t>
      </w:r>
    </w:p>
    <w:p w:rsidR="00AC7427" w:rsidRPr="00C50DD3" w:rsidRDefault="00AC7427" w:rsidP="00C50DD3">
      <w:pPr>
        <w:numPr>
          <w:ilvl w:val="0"/>
          <w:numId w:val="4"/>
        </w:numPr>
        <w:ind w:right="14"/>
        <w:rPr>
          <w:rFonts w:ascii="Arial" w:hAnsi="Arial" w:cs="Arial"/>
          <w:szCs w:val="24"/>
        </w:rPr>
      </w:pPr>
      <w:r w:rsidRPr="00C50DD3">
        <w:rPr>
          <w:rFonts w:ascii="Arial" w:hAnsi="Arial" w:cs="Arial"/>
          <w:szCs w:val="24"/>
        </w:rPr>
        <w:t>Hospice care assumes a proactive approach to addressing pain/symptom management crises by having medications readily available with which to intervene for patient needs.</w:t>
      </w:r>
    </w:p>
    <w:p w:rsidR="00AC7427" w:rsidRPr="00C50DD3" w:rsidRDefault="00AC7427" w:rsidP="00C50DD3">
      <w:pPr>
        <w:ind w:right="14"/>
        <w:rPr>
          <w:rFonts w:ascii="Arial" w:hAnsi="Arial" w:cs="Arial"/>
          <w:szCs w:val="24"/>
        </w:rPr>
      </w:pPr>
      <w:r w:rsidRPr="00C50DD3">
        <w:rPr>
          <w:rFonts w:ascii="Arial" w:hAnsi="Arial" w:cs="Arial"/>
          <w:szCs w:val="24"/>
        </w:rPr>
        <w:t xml:space="preserve"> </w:t>
      </w:r>
    </w:p>
    <w:p w:rsidR="00AC7427" w:rsidRPr="00C50DD3" w:rsidRDefault="00AC7427" w:rsidP="00C50DD3">
      <w:pPr>
        <w:numPr>
          <w:ilvl w:val="0"/>
          <w:numId w:val="4"/>
        </w:numPr>
        <w:ind w:right="14"/>
        <w:rPr>
          <w:rFonts w:ascii="Arial" w:hAnsi="Arial" w:cs="Arial"/>
          <w:szCs w:val="24"/>
        </w:rPr>
      </w:pPr>
      <w:r w:rsidRPr="00C50DD3">
        <w:rPr>
          <w:rFonts w:ascii="Arial" w:hAnsi="Arial" w:cs="Arial"/>
          <w:szCs w:val="24"/>
        </w:rPr>
        <w:t xml:space="preserve">Comfort Kit </w:t>
      </w:r>
      <w:r w:rsidR="008749F9" w:rsidRPr="00C50DD3">
        <w:rPr>
          <w:rFonts w:ascii="Arial" w:hAnsi="Arial" w:cs="Arial"/>
          <w:szCs w:val="24"/>
        </w:rPr>
        <w:t>medicines are used</w:t>
      </w:r>
      <w:r w:rsidRPr="00C50DD3">
        <w:rPr>
          <w:rFonts w:ascii="Arial" w:hAnsi="Arial" w:cs="Arial"/>
          <w:szCs w:val="24"/>
        </w:rPr>
        <w:t xml:space="preserve"> to adequately control pain and/or other symptoms as needed.</w:t>
      </w:r>
    </w:p>
    <w:p w:rsidR="00AC7427" w:rsidRPr="00C50DD3" w:rsidRDefault="00AC7427" w:rsidP="00C50DD3">
      <w:pPr>
        <w:ind w:right="14"/>
        <w:rPr>
          <w:rFonts w:ascii="Arial" w:hAnsi="Arial" w:cs="Arial"/>
          <w:szCs w:val="24"/>
        </w:rPr>
      </w:pPr>
    </w:p>
    <w:p w:rsidR="00BE4ECD" w:rsidRPr="00C50DD3" w:rsidRDefault="003B40AB" w:rsidP="00C50DD3">
      <w:pPr>
        <w:numPr>
          <w:ilvl w:val="0"/>
          <w:numId w:val="4"/>
        </w:numPr>
        <w:ind w:right="14"/>
        <w:rPr>
          <w:rFonts w:ascii="Arial" w:hAnsi="Arial" w:cs="Arial"/>
          <w:szCs w:val="24"/>
        </w:rPr>
      </w:pPr>
      <w:r w:rsidRPr="00C50DD3">
        <w:rPr>
          <w:rFonts w:ascii="Arial" w:hAnsi="Arial" w:cs="Arial"/>
          <w:szCs w:val="24"/>
        </w:rPr>
        <w:t>If deemed appropriate</w:t>
      </w:r>
      <w:r w:rsidR="00C24E44" w:rsidRPr="00C50DD3">
        <w:rPr>
          <w:rFonts w:ascii="Arial" w:hAnsi="Arial" w:cs="Arial"/>
          <w:szCs w:val="24"/>
        </w:rPr>
        <w:t>, t</w:t>
      </w:r>
      <w:r w:rsidR="00AC7427" w:rsidRPr="00C50DD3">
        <w:rPr>
          <w:rFonts w:ascii="Arial" w:hAnsi="Arial" w:cs="Arial"/>
          <w:szCs w:val="24"/>
        </w:rPr>
        <w:t>he nurse obtains a physician order to place the Comfort Kit in the patient’s home for</w:t>
      </w:r>
      <w:r w:rsidR="00556DD4" w:rsidRPr="00C50DD3">
        <w:rPr>
          <w:rFonts w:ascii="Arial" w:hAnsi="Arial" w:cs="Arial"/>
          <w:szCs w:val="24"/>
        </w:rPr>
        <w:t xml:space="preserve"> use during crisis pain/symptom episodes and orders the</w:t>
      </w:r>
      <w:r w:rsidR="00F82B1B" w:rsidRPr="00C50DD3">
        <w:rPr>
          <w:rFonts w:ascii="Arial" w:hAnsi="Arial" w:cs="Arial"/>
          <w:szCs w:val="24"/>
        </w:rPr>
        <w:t xml:space="preserve"> </w:t>
      </w:r>
      <w:r w:rsidR="008A1E16" w:rsidRPr="00C50DD3">
        <w:rPr>
          <w:rFonts w:ascii="Arial" w:hAnsi="Arial" w:cs="Arial"/>
          <w:szCs w:val="24"/>
        </w:rPr>
        <w:t xml:space="preserve">Comfort </w:t>
      </w:r>
      <w:r w:rsidR="00556DD4" w:rsidRPr="00C50DD3">
        <w:rPr>
          <w:rFonts w:ascii="Arial" w:hAnsi="Arial" w:cs="Arial"/>
          <w:szCs w:val="24"/>
        </w:rPr>
        <w:t xml:space="preserve">Kit from </w:t>
      </w:r>
      <w:r w:rsidR="008749F9" w:rsidRPr="00C50DD3">
        <w:rPr>
          <w:rFonts w:ascii="Arial" w:hAnsi="Arial" w:cs="Arial"/>
          <w:szCs w:val="24"/>
        </w:rPr>
        <w:t xml:space="preserve">the contracted Pharmacy Service </w:t>
      </w:r>
      <w:r w:rsidR="00556DD4" w:rsidRPr="00C50DD3">
        <w:rPr>
          <w:rFonts w:ascii="Arial" w:hAnsi="Arial" w:cs="Arial"/>
          <w:szCs w:val="24"/>
        </w:rPr>
        <w:t>to be delivered to the home.</w:t>
      </w:r>
      <w:r w:rsidR="00C50DD3" w:rsidRPr="00C50DD3">
        <w:rPr>
          <w:rFonts w:ascii="Arial" w:hAnsi="Arial" w:cs="Arial"/>
          <w:szCs w:val="24"/>
        </w:rPr>
        <w:t xml:space="preserve"> </w:t>
      </w:r>
      <w:r w:rsidR="00BE4ECD" w:rsidRPr="00C50DD3">
        <w:rPr>
          <w:rFonts w:ascii="Arial" w:hAnsi="Arial" w:cs="Arial"/>
          <w:szCs w:val="24"/>
        </w:rPr>
        <w:t>The case</w:t>
      </w:r>
      <w:r w:rsidR="00F82B1B" w:rsidRPr="00C50DD3">
        <w:rPr>
          <w:rFonts w:ascii="Arial" w:hAnsi="Arial" w:cs="Arial"/>
          <w:szCs w:val="24"/>
        </w:rPr>
        <w:t xml:space="preserve"> </w:t>
      </w:r>
      <w:r w:rsidR="00BE4ECD" w:rsidRPr="00C50DD3">
        <w:rPr>
          <w:rFonts w:ascii="Arial" w:hAnsi="Arial" w:cs="Arial"/>
          <w:szCs w:val="24"/>
        </w:rPr>
        <w:t xml:space="preserve">manager completes </w:t>
      </w:r>
      <w:r w:rsidR="008749F9" w:rsidRPr="00C50DD3">
        <w:rPr>
          <w:rFonts w:ascii="Arial" w:hAnsi="Arial" w:cs="Arial"/>
          <w:szCs w:val="24"/>
        </w:rPr>
        <w:t xml:space="preserve">necessary </w:t>
      </w:r>
      <w:r w:rsidR="00F82B1B" w:rsidRPr="00C50DD3">
        <w:rPr>
          <w:rFonts w:ascii="Arial" w:hAnsi="Arial" w:cs="Arial"/>
          <w:szCs w:val="24"/>
        </w:rPr>
        <w:t xml:space="preserve">paperwork including </w:t>
      </w:r>
      <w:r w:rsidR="00BE4ECD" w:rsidRPr="00C50DD3">
        <w:rPr>
          <w:rFonts w:ascii="Arial" w:hAnsi="Arial" w:cs="Arial"/>
          <w:szCs w:val="24"/>
        </w:rPr>
        <w:t>all patient identification information</w:t>
      </w:r>
      <w:r w:rsidR="00F82B1B" w:rsidRPr="00C50DD3">
        <w:rPr>
          <w:rFonts w:ascii="Arial" w:hAnsi="Arial" w:cs="Arial"/>
          <w:szCs w:val="24"/>
        </w:rPr>
        <w:t>,</w:t>
      </w:r>
      <w:r w:rsidR="001570A4" w:rsidRPr="00C50DD3">
        <w:rPr>
          <w:rFonts w:ascii="Arial" w:hAnsi="Arial" w:cs="Arial"/>
          <w:szCs w:val="24"/>
        </w:rPr>
        <w:t xml:space="preserve"> </w:t>
      </w:r>
      <w:r w:rsidR="00F82B1B" w:rsidRPr="00C50DD3">
        <w:rPr>
          <w:rFonts w:ascii="Arial" w:hAnsi="Arial" w:cs="Arial"/>
          <w:szCs w:val="24"/>
        </w:rPr>
        <w:t>known allergies and past medical history</w:t>
      </w:r>
      <w:r w:rsidR="00BE4ECD" w:rsidRPr="00C50DD3">
        <w:rPr>
          <w:rFonts w:ascii="Arial" w:hAnsi="Arial" w:cs="Arial"/>
          <w:szCs w:val="24"/>
        </w:rPr>
        <w:t>.</w:t>
      </w:r>
    </w:p>
    <w:p w:rsidR="00881A86" w:rsidRPr="00C50DD3" w:rsidRDefault="00881A86" w:rsidP="00C50DD3">
      <w:pPr>
        <w:ind w:right="14"/>
        <w:rPr>
          <w:rFonts w:ascii="Arial" w:hAnsi="Arial" w:cs="Arial"/>
          <w:szCs w:val="24"/>
        </w:rPr>
      </w:pPr>
    </w:p>
    <w:p w:rsidR="00C50DD3" w:rsidRPr="00C50DD3" w:rsidRDefault="00556DD4" w:rsidP="00C50DD3">
      <w:pPr>
        <w:numPr>
          <w:ilvl w:val="0"/>
          <w:numId w:val="4"/>
        </w:numPr>
        <w:ind w:right="14"/>
        <w:rPr>
          <w:rFonts w:ascii="Arial" w:hAnsi="Arial" w:cs="Arial"/>
          <w:szCs w:val="24"/>
        </w:rPr>
      </w:pPr>
      <w:r w:rsidRPr="00C50DD3">
        <w:rPr>
          <w:rFonts w:ascii="Arial" w:hAnsi="Arial" w:cs="Arial"/>
          <w:szCs w:val="24"/>
        </w:rPr>
        <w:t xml:space="preserve">The Comfort Kit </w:t>
      </w:r>
      <w:r w:rsidR="008749F9" w:rsidRPr="00C50DD3">
        <w:rPr>
          <w:rFonts w:ascii="Arial" w:hAnsi="Arial" w:cs="Arial"/>
          <w:szCs w:val="24"/>
        </w:rPr>
        <w:t xml:space="preserve">may </w:t>
      </w:r>
      <w:r w:rsidRPr="00C50DD3">
        <w:rPr>
          <w:rFonts w:ascii="Arial" w:hAnsi="Arial" w:cs="Arial"/>
          <w:szCs w:val="24"/>
        </w:rPr>
        <w:t>include the following medications:</w:t>
      </w:r>
      <w:r w:rsidR="00C50DD3" w:rsidRPr="00C50DD3">
        <w:rPr>
          <w:rFonts w:ascii="Arial" w:hAnsi="Arial" w:cs="Arial"/>
          <w:szCs w:val="24"/>
        </w:rPr>
        <w:t xml:space="preserve"> </w:t>
      </w:r>
      <w:proofErr w:type="spellStart"/>
      <w:r w:rsidRPr="00C50DD3">
        <w:rPr>
          <w:rFonts w:ascii="Arial" w:hAnsi="Arial" w:cs="Arial"/>
          <w:szCs w:val="24"/>
        </w:rPr>
        <w:t>Lorazepam</w:t>
      </w:r>
      <w:proofErr w:type="spellEnd"/>
      <w:r w:rsidRPr="00C50DD3">
        <w:rPr>
          <w:rFonts w:ascii="Arial" w:hAnsi="Arial" w:cs="Arial"/>
          <w:szCs w:val="24"/>
        </w:rPr>
        <w:t xml:space="preserve">, </w:t>
      </w:r>
      <w:proofErr w:type="spellStart"/>
      <w:r w:rsidRPr="00C50DD3">
        <w:rPr>
          <w:rFonts w:ascii="Arial" w:hAnsi="Arial" w:cs="Arial"/>
          <w:szCs w:val="24"/>
        </w:rPr>
        <w:t>Hyoscyamine</w:t>
      </w:r>
      <w:proofErr w:type="spellEnd"/>
      <w:r w:rsidRPr="00C50DD3">
        <w:rPr>
          <w:rFonts w:ascii="Arial" w:hAnsi="Arial" w:cs="Arial"/>
          <w:szCs w:val="24"/>
        </w:rPr>
        <w:t xml:space="preserve">, Morphine Sulfate IR, </w:t>
      </w:r>
      <w:proofErr w:type="spellStart"/>
      <w:r w:rsidRPr="00C50DD3">
        <w:rPr>
          <w:rFonts w:ascii="Arial" w:hAnsi="Arial" w:cs="Arial"/>
          <w:szCs w:val="24"/>
        </w:rPr>
        <w:t>Prochlorperazine</w:t>
      </w:r>
      <w:proofErr w:type="spellEnd"/>
      <w:r w:rsidRPr="00C50DD3">
        <w:rPr>
          <w:rFonts w:ascii="Arial" w:hAnsi="Arial" w:cs="Arial"/>
          <w:szCs w:val="24"/>
        </w:rPr>
        <w:t xml:space="preserve">, </w:t>
      </w:r>
      <w:proofErr w:type="spellStart"/>
      <w:r w:rsidRPr="00C50DD3">
        <w:rPr>
          <w:rFonts w:ascii="Arial" w:hAnsi="Arial" w:cs="Arial"/>
          <w:szCs w:val="24"/>
        </w:rPr>
        <w:t>Furosemide</w:t>
      </w:r>
      <w:proofErr w:type="spellEnd"/>
      <w:r w:rsidRPr="00C50DD3">
        <w:rPr>
          <w:rFonts w:ascii="Arial" w:hAnsi="Arial" w:cs="Arial"/>
          <w:szCs w:val="24"/>
        </w:rPr>
        <w:t>, Haloperidol, Acetaminophen, ABHR suppository</w:t>
      </w:r>
      <w:r w:rsidR="008749F9" w:rsidRPr="00C50DD3">
        <w:rPr>
          <w:rFonts w:ascii="Arial" w:hAnsi="Arial" w:cs="Arial"/>
          <w:szCs w:val="24"/>
        </w:rPr>
        <w:t>, or other medications based on physician’s orders</w:t>
      </w:r>
      <w:r w:rsidRPr="00C50DD3">
        <w:rPr>
          <w:rFonts w:ascii="Arial" w:hAnsi="Arial" w:cs="Arial"/>
          <w:szCs w:val="24"/>
        </w:rPr>
        <w:t>.</w:t>
      </w:r>
      <w:r w:rsidR="002C49C2" w:rsidRPr="00C50DD3">
        <w:rPr>
          <w:rFonts w:ascii="Arial" w:hAnsi="Arial" w:cs="Arial"/>
          <w:szCs w:val="24"/>
        </w:rPr>
        <w:t xml:space="preserve"> </w:t>
      </w:r>
    </w:p>
    <w:p w:rsidR="00BD4999" w:rsidRPr="00C50DD3" w:rsidRDefault="00BD4999" w:rsidP="00C50DD3">
      <w:pPr>
        <w:ind w:left="360" w:right="14"/>
        <w:rPr>
          <w:rFonts w:ascii="Arial" w:hAnsi="Arial" w:cs="Arial"/>
          <w:szCs w:val="24"/>
        </w:rPr>
      </w:pPr>
    </w:p>
    <w:p w:rsidR="00E86FF2" w:rsidRPr="00C50DD3" w:rsidRDefault="0039682B" w:rsidP="00C50DD3">
      <w:pPr>
        <w:numPr>
          <w:ilvl w:val="0"/>
          <w:numId w:val="4"/>
        </w:numPr>
        <w:ind w:right="14"/>
        <w:rPr>
          <w:rFonts w:ascii="Arial" w:hAnsi="Arial" w:cs="Arial"/>
          <w:szCs w:val="24"/>
        </w:rPr>
      </w:pPr>
      <w:r w:rsidRPr="00C50DD3">
        <w:rPr>
          <w:rFonts w:ascii="Arial" w:hAnsi="Arial" w:cs="Arial"/>
          <w:szCs w:val="24"/>
        </w:rPr>
        <w:t>Family/</w:t>
      </w:r>
      <w:r w:rsidR="00C50DD3" w:rsidRPr="00C50DD3">
        <w:rPr>
          <w:rFonts w:ascii="Arial" w:hAnsi="Arial" w:cs="Arial"/>
          <w:szCs w:val="24"/>
        </w:rPr>
        <w:t>Caregiver</w:t>
      </w:r>
      <w:r w:rsidRPr="00C50DD3">
        <w:rPr>
          <w:rFonts w:ascii="Arial" w:hAnsi="Arial" w:cs="Arial"/>
          <w:szCs w:val="24"/>
        </w:rPr>
        <w:t>s are instructed to NOT open the Kit unless directed to do so by the Hospice nurse.</w:t>
      </w:r>
      <w:r w:rsidR="00C50DD3" w:rsidRPr="00C50DD3">
        <w:rPr>
          <w:rFonts w:ascii="Arial" w:hAnsi="Arial" w:cs="Arial"/>
          <w:szCs w:val="24"/>
        </w:rPr>
        <w:t xml:space="preserve"> </w:t>
      </w:r>
      <w:r w:rsidRPr="00C50DD3">
        <w:rPr>
          <w:rFonts w:ascii="Arial" w:hAnsi="Arial" w:cs="Arial"/>
          <w:szCs w:val="24"/>
        </w:rPr>
        <w:t>The nurse documents placement of the Kit.</w:t>
      </w:r>
    </w:p>
    <w:p w:rsidR="00E86FF2" w:rsidRPr="00C50DD3" w:rsidRDefault="00E86FF2" w:rsidP="00C50DD3">
      <w:pPr>
        <w:rPr>
          <w:rFonts w:ascii="Arial" w:hAnsi="Arial" w:cs="Arial"/>
          <w:szCs w:val="24"/>
        </w:rPr>
      </w:pPr>
    </w:p>
    <w:p w:rsidR="00417D7B" w:rsidRPr="00C50DD3" w:rsidRDefault="0039682B" w:rsidP="00C50DD3">
      <w:pPr>
        <w:numPr>
          <w:ilvl w:val="0"/>
          <w:numId w:val="4"/>
        </w:numPr>
        <w:rPr>
          <w:rFonts w:ascii="Arial" w:hAnsi="Arial"/>
          <w:szCs w:val="24"/>
        </w:rPr>
      </w:pPr>
      <w:r w:rsidRPr="00C50DD3">
        <w:rPr>
          <w:rFonts w:ascii="Arial" w:hAnsi="Arial" w:cs="Arial"/>
          <w:szCs w:val="24"/>
        </w:rPr>
        <w:t>The nurse instructs the patient/caregiver that th</w:t>
      </w:r>
      <w:r w:rsidRPr="00C50DD3">
        <w:rPr>
          <w:rFonts w:ascii="Arial" w:hAnsi="Arial"/>
          <w:szCs w:val="24"/>
        </w:rPr>
        <w:t>e</w:t>
      </w:r>
      <w:r w:rsidR="00417D7B" w:rsidRPr="00C50DD3">
        <w:rPr>
          <w:rFonts w:ascii="Arial" w:hAnsi="Arial"/>
          <w:szCs w:val="24"/>
        </w:rPr>
        <w:t xml:space="preserve"> </w:t>
      </w:r>
      <w:r w:rsidR="00B101EE" w:rsidRPr="00C50DD3">
        <w:rPr>
          <w:rFonts w:ascii="Arial" w:hAnsi="Arial"/>
          <w:szCs w:val="24"/>
        </w:rPr>
        <w:t xml:space="preserve">Comfort Kit </w:t>
      </w:r>
      <w:r w:rsidR="00417D7B" w:rsidRPr="00C50DD3">
        <w:rPr>
          <w:rFonts w:ascii="Arial" w:hAnsi="Arial"/>
          <w:szCs w:val="24"/>
        </w:rPr>
        <w:t xml:space="preserve">medications </w:t>
      </w:r>
      <w:r w:rsidR="00C573FD" w:rsidRPr="00C50DD3">
        <w:rPr>
          <w:rFonts w:ascii="Arial" w:hAnsi="Arial"/>
          <w:szCs w:val="24"/>
        </w:rPr>
        <w:t xml:space="preserve">are </w:t>
      </w:r>
      <w:r w:rsidR="00C24E44" w:rsidRPr="00C50DD3">
        <w:rPr>
          <w:rFonts w:ascii="Arial" w:hAnsi="Arial"/>
          <w:szCs w:val="24"/>
        </w:rPr>
        <w:t xml:space="preserve">for use only for </w:t>
      </w:r>
      <w:r w:rsidR="00417D7B" w:rsidRPr="00C50DD3">
        <w:rPr>
          <w:rFonts w:ascii="Arial" w:hAnsi="Arial"/>
          <w:szCs w:val="24"/>
        </w:rPr>
        <w:t>management and intervention of pain/symptom crisis at times when obtaining a specific medication</w:t>
      </w:r>
      <w:r w:rsidR="00B101EE" w:rsidRPr="00C50DD3">
        <w:rPr>
          <w:rFonts w:ascii="Arial" w:hAnsi="Arial"/>
          <w:szCs w:val="24"/>
        </w:rPr>
        <w:t>/</w:t>
      </w:r>
      <w:r w:rsidR="00417D7B" w:rsidRPr="00C50DD3">
        <w:rPr>
          <w:rFonts w:ascii="Arial" w:hAnsi="Arial"/>
          <w:szCs w:val="24"/>
        </w:rPr>
        <w:t>prescription may be delayed.</w:t>
      </w:r>
    </w:p>
    <w:p w:rsidR="00417D7B" w:rsidRPr="00C50DD3" w:rsidRDefault="00417D7B" w:rsidP="00C50DD3">
      <w:pPr>
        <w:rPr>
          <w:rFonts w:ascii="Arial" w:hAnsi="Arial"/>
          <w:szCs w:val="24"/>
        </w:rPr>
      </w:pPr>
    </w:p>
    <w:p w:rsidR="00C24E44" w:rsidRPr="00C50DD3" w:rsidRDefault="00417D7B" w:rsidP="00C50DD3">
      <w:pPr>
        <w:numPr>
          <w:ilvl w:val="0"/>
          <w:numId w:val="4"/>
        </w:numPr>
        <w:rPr>
          <w:rFonts w:ascii="Arial" w:hAnsi="Arial"/>
          <w:szCs w:val="24"/>
        </w:rPr>
      </w:pPr>
      <w:r w:rsidRPr="00C50DD3">
        <w:rPr>
          <w:rFonts w:ascii="Arial" w:hAnsi="Arial"/>
          <w:szCs w:val="24"/>
        </w:rPr>
        <w:t>The nurse also instructs the p</w:t>
      </w:r>
      <w:r w:rsidR="00E86FF2" w:rsidRPr="00C50DD3">
        <w:rPr>
          <w:rFonts w:ascii="Arial" w:hAnsi="Arial"/>
          <w:szCs w:val="24"/>
        </w:rPr>
        <w:t>atient/</w:t>
      </w:r>
      <w:r w:rsidRPr="00C50DD3">
        <w:rPr>
          <w:rFonts w:ascii="Arial" w:hAnsi="Arial"/>
          <w:szCs w:val="24"/>
        </w:rPr>
        <w:t>c</w:t>
      </w:r>
      <w:r w:rsidR="00E86FF2" w:rsidRPr="00C50DD3">
        <w:rPr>
          <w:rFonts w:ascii="Arial" w:hAnsi="Arial"/>
          <w:szCs w:val="24"/>
        </w:rPr>
        <w:t xml:space="preserve">aregiver </w:t>
      </w:r>
      <w:r w:rsidRPr="00C50DD3">
        <w:rPr>
          <w:rFonts w:ascii="Arial" w:hAnsi="Arial"/>
          <w:szCs w:val="24"/>
        </w:rPr>
        <w:t>o</w:t>
      </w:r>
      <w:r w:rsidR="00E86FF2" w:rsidRPr="00C50DD3">
        <w:rPr>
          <w:rFonts w:ascii="Arial" w:hAnsi="Arial"/>
          <w:szCs w:val="24"/>
        </w:rPr>
        <w:t xml:space="preserve">n administration, dosage, </w:t>
      </w:r>
      <w:r w:rsidRPr="00C50DD3">
        <w:rPr>
          <w:rFonts w:ascii="Arial" w:hAnsi="Arial"/>
          <w:szCs w:val="24"/>
        </w:rPr>
        <w:t xml:space="preserve">expected </w:t>
      </w:r>
      <w:r w:rsidR="00E86FF2" w:rsidRPr="00C50DD3">
        <w:rPr>
          <w:rFonts w:ascii="Arial" w:hAnsi="Arial"/>
          <w:szCs w:val="24"/>
        </w:rPr>
        <w:t xml:space="preserve">effects, and </w:t>
      </w:r>
      <w:r w:rsidRPr="00C50DD3">
        <w:rPr>
          <w:rFonts w:ascii="Arial" w:hAnsi="Arial"/>
          <w:szCs w:val="24"/>
        </w:rPr>
        <w:t xml:space="preserve">possible </w:t>
      </w:r>
      <w:r w:rsidR="00E86FF2" w:rsidRPr="00C50DD3">
        <w:rPr>
          <w:rFonts w:ascii="Arial" w:hAnsi="Arial"/>
          <w:szCs w:val="24"/>
        </w:rPr>
        <w:t xml:space="preserve">side effects of </w:t>
      </w:r>
      <w:r w:rsidR="00B101EE" w:rsidRPr="00C50DD3">
        <w:rPr>
          <w:rFonts w:ascii="Arial" w:hAnsi="Arial"/>
          <w:szCs w:val="24"/>
        </w:rPr>
        <w:t xml:space="preserve">any </w:t>
      </w:r>
      <w:r w:rsidR="00E86FF2" w:rsidRPr="00C50DD3">
        <w:rPr>
          <w:rFonts w:ascii="Arial" w:hAnsi="Arial"/>
          <w:szCs w:val="24"/>
        </w:rPr>
        <w:t>medication used</w:t>
      </w:r>
      <w:r w:rsidRPr="00C50DD3">
        <w:rPr>
          <w:rFonts w:ascii="Arial" w:hAnsi="Arial"/>
          <w:szCs w:val="24"/>
        </w:rPr>
        <w:t xml:space="preserve"> and how to determine its effectiveness i</w:t>
      </w:r>
      <w:r w:rsidR="00C24E44" w:rsidRPr="00C50DD3">
        <w:rPr>
          <w:rFonts w:ascii="Arial" w:hAnsi="Arial"/>
          <w:szCs w:val="24"/>
        </w:rPr>
        <w:t>n controlling the pain/symptoms.</w:t>
      </w:r>
      <w:r w:rsidR="00C50DD3" w:rsidRPr="00C50DD3">
        <w:rPr>
          <w:rFonts w:ascii="Arial" w:hAnsi="Arial"/>
          <w:szCs w:val="24"/>
        </w:rPr>
        <w:t xml:space="preserve"> </w:t>
      </w:r>
      <w:r w:rsidR="00BE4ECD" w:rsidRPr="00C50DD3">
        <w:rPr>
          <w:rFonts w:ascii="Arial" w:hAnsi="Arial"/>
          <w:szCs w:val="24"/>
        </w:rPr>
        <w:t xml:space="preserve">Use of the kit and all other </w:t>
      </w:r>
      <w:r w:rsidR="00C24E44" w:rsidRPr="00C50DD3">
        <w:rPr>
          <w:rFonts w:ascii="Arial" w:hAnsi="Arial"/>
          <w:szCs w:val="24"/>
        </w:rPr>
        <w:t xml:space="preserve">instruction provided to the patient/caregiver is </w:t>
      </w:r>
      <w:proofErr w:type="gramStart"/>
      <w:r w:rsidR="00C24E44" w:rsidRPr="00C50DD3">
        <w:rPr>
          <w:rFonts w:ascii="Arial" w:hAnsi="Arial"/>
          <w:szCs w:val="24"/>
        </w:rPr>
        <w:t>documented</w:t>
      </w:r>
      <w:proofErr w:type="gramEnd"/>
      <w:r w:rsidR="00C24E44" w:rsidRPr="00C50DD3">
        <w:rPr>
          <w:rFonts w:ascii="Arial" w:hAnsi="Arial"/>
          <w:szCs w:val="24"/>
        </w:rPr>
        <w:t xml:space="preserve"> in the </w:t>
      </w:r>
      <w:r w:rsidR="00BE4ECD" w:rsidRPr="00C50DD3">
        <w:rPr>
          <w:rFonts w:ascii="Arial" w:hAnsi="Arial"/>
          <w:szCs w:val="24"/>
        </w:rPr>
        <w:t xml:space="preserve">nurse’s note of the </w:t>
      </w:r>
      <w:r w:rsidR="00C24E44" w:rsidRPr="00C50DD3">
        <w:rPr>
          <w:rFonts w:ascii="Arial" w:hAnsi="Arial"/>
          <w:szCs w:val="24"/>
        </w:rPr>
        <w:t>medical record.</w:t>
      </w:r>
    </w:p>
    <w:p w:rsidR="00BE4ECD" w:rsidRPr="00C50DD3" w:rsidRDefault="00BE4ECD" w:rsidP="00C50DD3">
      <w:pPr>
        <w:rPr>
          <w:rFonts w:ascii="Arial" w:hAnsi="Arial"/>
          <w:szCs w:val="24"/>
        </w:rPr>
      </w:pPr>
    </w:p>
    <w:p w:rsidR="008D4105" w:rsidRDefault="008D4105">
      <w:pPr>
        <w:widowControl/>
        <w:rPr>
          <w:rFonts w:ascii="Arial" w:hAnsi="Arial"/>
          <w:szCs w:val="24"/>
        </w:rPr>
      </w:pPr>
      <w:r>
        <w:rPr>
          <w:rFonts w:ascii="Arial" w:hAnsi="Arial"/>
          <w:szCs w:val="24"/>
        </w:rPr>
        <w:br w:type="page"/>
      </w:r>
    </w:p>
    <w:p w:rsidR="00BE4ECD" w:rsidRPr="00C50DD3" w:rsidRDefault="00BE4ECD" w:rsidP="00C50DD3">
      <w:pPr>
        <w:numPr>
          <w:ilvl w:val="0"/>
          <w:numId w:val="4"/>
        </w:numPr>
        <w:rPr>
          <w:rFonts w:ascii="Arial" w:hAnsi="Arial"/>
          <w:szCs w:val="24"/>
        </w:rPr>
      </w:pPr>
      <w:r w:rsidRPr="00C50DD3">
        <w:rPr>
          <w:rFonts w:ascii="Arial" w:hAnsi="Arial"/>
          <w:szCs w:val="24"/>
        </w:rPr>
        <w:t xml:space="preserve">The case manager ensures the attending physician is sent a copy of the Kit contents and </w:t>
      </w:r>
      <w:r w:rsidR="00B13B58" w:rsidRPr="00C50DD3">
        <w:rPr>
          <w:rFonts w:ascii="Arial" w:hAnsi="Arial"/>
          <w:szCs w:val="24"/>
        </w:rPr>
        <w:t>the</w:t>
      </w:r>
      <w:r w:rsidRPr="00C50DD3">
        <w:rPr>
          <w:rFonts w:ascii="Arial" w:hAnsi="Arial"/>
          <w:szCs w:val="24"/>
        </w:rPr>
        <w:t xml:space="preserve"> </w:t>
      </w:r>
      <w:r w:rsidRPr="00C50DD3">
        <w:rPr>
          <w:rFonts w:ascii="Arial" w:hAnsi="Arial"/>
          <w:szCs w:val="24"/>
        </w:rPr>
        <w:lastRenderedPageBreak/>
        <w:t>protocol for use along with the POC.</w:t>
      </w:r>
    </w:p>
    <w:p w:rsidR="00E86FF2" w:rsidRPr="00C50DD3" w:rsidRDefault="00E86FF2" w:rsidP="00C50DD3">
      <w:pPr>
        <w:rPr>
          <w:rFonts w:ascii="Arial" w:hAnsi="Arial"/>
          <w:szCs w:val="24"/>
        </w:rPr>
      </w:pPr>
    </w:p>
    <w:p w:rsidR="00E86FF2" w:rsidRPr="00C50DD3" w:rsidRDefault="00C24E44" w:rsidP="00C50DD3">
      <w:pPr>
        <w:numPr>
          <w:ilvl w:val="0"/>
          <w:numId w:val="4"/>
        </w:numPr>
        <w:rPr>
          <w:rFonts w:ascii="Arial" w:hAnsi="Arial"/>
          <w:szCs w:val="24"/>
        </w:rPr>
      </w:pPr>
      <w:r w:rsidRPr="00C50DD3">
        <w:rPr>
          <w:rFonts w:ascii="Arial" w:hAnsi="Arial"/>
          <w:szCs w:val="24"/>
        </w:rPr>
        <w:t>When medication from the Comfort Kit is used, the nurse conducts a f</w:t>
      </w:r>
      <w:r w:rsidR="00E86FF2" w:rsidRPr="00C50DD3">
        <w:rPr>
          <w:rFonts w:ascii="Arial" w:hAnsi="Arial"/>
          <w:szCs w:val="24"/>
        </w:rPr>
        <w:t xml:space="preserve">ollow up </w:t>
      </w:r>
      <w:r w:rsidRPr="00C50DD3">
        <w:rPr>
          <w:rFonts w:ascii="Arial" w:hAnsi="Arial"/>
          <w:szCs w:val="24"/>
        </w:rPr>
        <w:t xml:space="preserve">assessment </w:t>
      </w:r>
      <w:r w:rsidR="00B101EE" w:rsidRPr="00C50DD3">
        <w:rPr>
          <w:rFonts w:ascii="Arial" w:hAnsi="Arial"/>
          <w:szCs w:val="24"/>
        </w:rPr>
        <w:t xml:space="preserve">to determine </w:t>
      </w:r>
      <w:r w:rsidRPr="00C50DD3">
        <w:rPr>
          <w:rFonts w:ascii="Arial" w:hAnsi="Arial"/>
          <w:szCs w:val="24"/>
        </w:rPr>
        <w:t xml:space="preserve">the </w:t>
      </w:r>
      <w:r w:rsidR="00E86FF2" w:rsidRPr="00C50DD3">
        <w:rPr>
          <w:rFonts w:ascii="Arial" w:hAnsi="Arial"/>
          <w:szCs w:val="24"/>
        </w:rPr>
        <w:t xml:space="preserve">effectiveness of medication </w:t>
      </w:r>
      <w:r w:rsidRPr="00C50DD3">
        <w:rPr>
          <w:rFonts w:ascii="Arial" w:hAnsi="Arial"/>
          <w:szCs w:val="24"/>
        </w:rPr>
        <w:t xml:space="preserve">within </w:t>
      </w:r>
      <w:r w:rsidR="00E86FF2" w:rsidRPr="00C50DD3">
        <w:rPr>
          <w:rFonts w:ascii="Arial" w:hAnsi="Arial"/>
          <w:szCs w:val="24"/>
        </w:rPr>
        <w:t xml:space="preserve">2 hours of </w:t>
      </w:r>
      <w:r w:rsidRPr="00C50DD3">
        <w:rPr>
          <w:rFonts w:ascii="Arial" w:hAnsi="Arial"/>
          <w:szCs w:val="24"/>
        </w:rPr>
        <w:t xml:space="preserve">its </w:t>
      </w:r>
      <w:r w:rsidR="00E86FF2" w:rsidRPr="00C50DD3">
        <w:rPr>
          <w:rFonts w:ascii="Arial" w:hAnsi="Arial"/>
          <w:szCs w:val="24"/>
        </w:rPr>
        <w:t>initial use</w:t>
      </w:r>
      <w:r w:rsidRPr="00C50DD3">
        <w:rPr>
          <w:rFonts w:ascii="Arial" w:hAnsi="Arial"/>
          <w:szCs w:val="24"/>
        </w:rPr>
        <w:t xml:space="preserve"> and documents same in the medical record.</w:t>
      </w:r>
    </w:p>
    <w:p w:rsidR="00E86FF2" w:rsidRPr="00C50DD3" w:rsidRDefault="00E86FF2" w:rsidP="00C50DD3">
      <w:pPr>
        <w:rPr>
          <w:rFonts w:ascii="Arial" w:hAnsi="Arial"/>
          <w:szCs w:val="24"/>
        </w:rPr>
      </w:pPr>
    </w:p>
    <w:p w:rsidR="00E86FF2" w:rsidRPr="00C50DD3" w:rsidRDefault="006232A3" w:rsidP="00C50DD3">
      <w:pPr>
        <w:numPr>
          <w:ilvl w:val="0"/>
          <w:numId w:val="4"/>
        </w:numPr>
        <w:rPr>
          <w:rFonts w:ascii="Arial" w:hAnsi="Arial"/>
          <w:szCs w:val="24"/>
        </w:rPr>
      </w:pPr>
      <w:r w:rsidRPr="00C50DD3">
        <w:rPr>
          <w:rFonts w:ascii="Arial" w:hAnsi="Arial"/>
          <w:szCs w:val="24"/>
        </w:rPr>
        <w:t xml:space="preserve">Comfort Kit </w:t>
      </w:r>
      <w:r w:rsidR="00C24E44" w:rsidRPr="00C50DD3">
        <w:rPr>
          <w:rFonts w:ascii="Arial" w:hAnsi="Arial"/>
          <w:szCs w:val="24"/>
        </w:rPr>
        <w:t>M</w:t>
      </w:r>
      <w:r w:rsidR="00E86FF2" w:rsidRPr="00C50DD3">
        <w:rPr>
          <w:rFonts w:ascii="Arial" w:hAnsi="Arial"/>
          <w:szCs w:val="24"/>
        </w:rPr>
        <w:t xml:space="preserve">edications </w:t>
      </w:r>
      <w:r w:rsidR="00C24E44" w:rsidRPr="00C50DD3">
        <w:rPr>
          <w:rFonts w:ascii="Arial" w:hAnsi="Arial"/>
          <w:szCs w:val="24"/>
        </w:rPr>
        <w:t>are</w:t>
      </w:r>
      <w:r w:rsidR="00E86FF2" w:rsidRPr="00C50DD3">
        <w:rPr>
          <w:rFonts w:ascii="Arial" w:hAnsi="Arial"/>
          <w:szCs w:val="24"/>
        </w:rPr>
        <w:t xml:space="preserve"> </w:t>
      </w:r>
      <w:r w:rsidRPr="00C50DD3">
        <w:rPr>
          <w:rFonts w:ascii="Arial" w:hAnsi="Arial"/>
          <w:szCs w:val="24"/>
        </w:rPr>
        <w:t>documented as such in the</w:t>
      </w:r>
      <w:r w:rsidR="00E86FF2" w:rsidRPr="00C50DD3">
        <w:rPr>
          <w:rFonts w:ascii="Arial" w:hAnsi="Arial"/>
          <w:szCs w:val="24"/>
        </w:rPr>
        <w:t xml:space="preserve"> medication profile</w:t>
      </w:r>
      <w:r w:rsidR="00C24E44" w:rsidRPr="00C50DD3">
        <w:rPr>
          <w:rFonts w:ascii="Arial" w:hAnsi="Arial"/>
          <w:szCs w:val="24"/>
        </w:rPr>
        <w:t>.</w:t>
      </w:r>
    </w:p>
    <w:p w:rsidR="00E86FF2" w:rsidRPr="00C50DD3" w:rsidRDefault="00E86FF2" w:rsidP="00C50DD3">
      <w:pPr>
        <w:rPr>
          <w:rFonts w:ascii="Arial" w:hAnsi="Arial"/>
          <w:szCs w:val="24"/>
        </w:rPr>
      </w:pPr>
    </w:p>
    <w:p w:rsidR="00E86FF2" w:rsidRPr="00C50DD3" w:rsidRDefault="00C24E44" w:rsidP="00C50DD3">
      <w:pPr>
        <w:numPr>
          <w:ilvl w:val="0"/>
          <w:numId w:val="4"/>
        </w:numPr>
        <w:rPr>
          <w:rFonts w:ascii="Arial" w:hAnsi="Arial" w:cs="Arial"/>
          <w:szCs w:val="24"/>
        </w:rPr>
      </w:pPr>
      <w:r w:rsidRPr="00C50DD3">
        <w:rPr>
          <w:rFonts w:ascii="Arial" w:hAnsi="Arial" w:cs="Arial"/>
          <w:szCs w:val="24"/>
        </w:rPr>
        <w:t>Remaining c</w:t>
      </w:r>
      <w:r w:rsidR="00E86FF2" w:rsidRPr="00C50DD3">
        <w:rPr>
          <w:rFonts w:ascii="Arial" w:hAnsi="Arial" w:cs="Arial"/>
          <w:szCs w:val="24"/>
        </w:rPr>
        <w:t xml:space="preserve">ontents of </w:t>
      </w:r>
      <w:r w:rsidRPr="00C50DD3">
        <w:rPr>
          <w:rFonts w:ascii="Arial" w:hAnsi="Arial" w:cs="Arial"/>
          <w:szCs w:val="24"/>
        </w:rPr>
        <w:t xml:space="preserve">the </w:t>
      </w:r>
      <w:r w:rsidR="00E86FF2" w:rsidRPr="00C50DD3">
        <w:rPr>
          <w:rFonts w:ascii="Arial" w:hAnsi="Arial" w:cs="Arial"/>
          <w:szCs w:val="24"/>
        </w:rPr>
        <w:t xml:space="preserve">Comfort Kit </w:t>
      </w:r>
      <w:r w:rsidRPr="00C50DD3">
        <w:rPr>
          <w:rFonts w:ascii="Arial" w:hAnsi="Arial" w:cs="Arial"/>
          <w:szCs w:val="24"/>
        </w:rPr>
        <w:t>are</w:t>
      </w:r>
      <w:r w:rsidR="00E86FF2" w:rsidRPr="00C50DD3">
        <w:rPr>
          <w:rFonts w:ascii="Arial" w:hAnsi="Arial" w:cs="Arial"/>
          <w:szCs w:val="24"/>
        </w:rPr>
        <w:t xml:space="preserve"> destroyed per company policy at the time of patient’s death</w:t>
      </w:r>
      <w:r w:rsidRPr="00C50DD3">
        <w:rPr>
          <w:rFonts w:ascii="Arial" w:hAnsi="Arial" w:cs="Arial"/>
          <w:szCs w:val="24"/>
        </w:rPr>
        <w:t>.</w:t>
      </w:r>
    </w:p>
    <w:sectPr w:rsidR="00E86FF2" w:rsidRPr="00C50DD3" w:rsidSect="00C50DD3">
      <w:footerReference w:type="default" r:id="rId7"/>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52" w:rsidRDefault="00684652">
      <w:r>
        <w:separator/>
      </w:r>
    </w:p>
  </w:endnote>
  <w:endnote w:type="continuationSeparator" w:id="0">
    <w:p w:rsidR="00684652" w:rsidRDefault="0068465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64" w:rsidRPr="00C50DD3" w:rsidRDefault="00BD4999">
    <w:pPr>
      <w:pStyle w:val="Footer"/>
      <w:rPr>
        <w:rFonts w:ascii="Arial" w:hAnsi="Arial" w:cs="Arial"/>
        <w:sz w:val="16"/>
        <w:szCs w:val="16"/>
      </w:rPr>
    </w:pPr>
    <w:fldSimple w:instr=" FILENAME \p \* MERGEFORMAT ">
      <w:r w:rsidR="00A26964" w:rsidRPr="00C50DD3">
        <w:rPr>
          <w:rFonts w:ascii="Arial" w:hAnsi="Arial" w:cs="Arial"/>
          <w:noProof/>
          <w:sz w:val="16"/>
          <w:szCs w:val="16"/>
        </w:rPr>
        <w:t>G:\Policy and Procedures\ Policy &amp; Procedure Manaual\ Clinical Policy &amp; Procedure Manual\Medication Management\Comfort Kit (for</w:t>
      </w:r>
      <w:r w:rsidR="00C50DD3" w:rsidRPr="00C50DD3">
        <w:rPr>
          <w:rFonts w:ascii="Arial" w:hAnsi="Arial" w:cs="Arial"/>
          <w:noProof/>
          <w:sz w:val="16"/>
          <w:szCs w:val="16"/>
        </w:rPr>
        <w:t xml:space="preserve"> </w:t>
      </w:r>
      <w:r w:rsidR="00A26964" w:rsidRPr="00C50DD3">
        <w:rPr>
          <w:rFonts w:ascii="Arial" w:hAnsi="Arial" w:cs="Arial"/>
          <w:noProof/>
          <w:sz w:val="16"/>
          <w:szCs w:val="16"/>
        </w:rPr>
        <w:t>Hospice Patients</w:t>
      </w:r>
      <w:r w:rsidR="001570A4" w:rsidRPr="00C50DD3">
        <w:rPr>
          <w:rFonts w:ascii="Arial" w:hAnsi="Arial" w:cs="Arial"/>
          <w:noProof/>
          <w:sz w:val="16"/>
          <w:szCs w:val="16"/>
        </w:rPr>
        <w:t>)</w:t>
      </w:r>
      <w:r w:rsidR="00A26964" w:rsidRPr="00C50DD3">
        <w:rPr>
          <w:rFonts w:ascii="Arial" w:hAnsi="Arial" w:cs="Arial"/>
          <w:noProof/>
          <w:sz w:val="16"/>
          <w:szCs w:val="16"/>
        </w:rPr>
        <w:t>.doc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52" w:rsidRDefault="00684652">
      <w:r>
        <w:separator/>
      </w:r>
    </w:p>
  </w:footnote>
  <w:footnote w:type="continuationSeparator" w:id="0">
    <w:p w:rsidR="00684652" w:rsidRDefault="00684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195C0801"/>
    <w:multiLevelType w:val="singleLevel"/>
    <w:tmpl w:val="0409000F"/>
    <w:lvl w:ilvl="0">
      <w:start w:val="1"/>
      <w:numFmt w:val="decimal"/>
      <w:lvlText w:val="%1."/>
      <w:lvlJc w:val="left"/>
      <w:pPr>
        <w:tabs>
          <w:tab w:val="num" w:pos="360"/>
        </w:tabs>
        <w:ind w:left="360" w:hanging="360"/>
      </w:pPr>
    </w:lvl>
  </w:abstractNum>
  <w:abstractNum w:abstractNumId="4">
    <w:nsid w:val="343211F5"/>
    <w:multiLevelType w:val="hybridMultilevel"/>
    <w:tmpl w:val="D034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A11420C"/>
    <w:multiLevelType w:val="multilevel"/>
    <w:tmpl w:val="6732435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6"/>
  </w:num>
  <w:num w:numId="4">
    <w:abstractNumId w:val="7"/>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5"/>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rsids>
    <w:rsidRoot w:val="00BE579D"/>
    <w:rsid w:val="000567A2"/>
    <w:rsid w:val="00096E0B"/>
    <w:rsid w:val="00110F1D"/>
    <w:rsid w:val="001570A4"/>
    <w:rsid w:val="00192795"/>
    <w:rsid w:val="00274941"/>
    <w:rsid w:val="002C49C2"/>
    <w:rsid w:val="002D75F9"/>
    <w:rsid w:val="002E466E"/>
    <w:rsid w:val="00337F9A"/>
    <w:rsid w:val="0039682B"/>
    <w:rsid w:val="003B40AB"/>
    <w:rsid w:val="003C64CE"/>
    <w:rsid w:val="00417D7B"/>
    <w:rsid w:val="00430CD0"/>
    <w:rsid w:val="004D00A7"/>
    <w:rsid w:val="00522512"/>
    <w:rsid w:val="00556DD4"/>
    <w:rsid w:val="006232A3"/>
    <w:rsid w:val="006333C3"/>
    <w:rsid w:val="00684652"/>
    <w:rsid w:val="006A7FEF"/>
    <w:rsid w:val="006E4FF3"/>
    <w:rsid w:val="00780D41"/>
    <w:rsid w:val="007B26D8"/>
    <w:rsid w:val="007B2AD4"/>
    <w:rsid w:val="007C1497"/>
    <w:rsid w:val="008402E3"/>
    <w:rsid w:val="008749F9"/>
    <w:rsid w:val="00881A86"/>
    <w:rsid w:val="008A1E16"/>
    <w:rsid w:val="008D35CC"/>
    <w:rsid w:val="008D4105"/>
    <w:rsid w:val="00A26964"/>
    <w:rsid w:val="00AC7427"/>
    <w:rsid w:val="00B101EE"/>
    <w:rsid w:val="00B13B58"/>
    <w:rsid w:val="00BA2323"/>
    <w:rsid w:val="00BD4999"/>
    <w:rsid w:val="00BE4ECD"/>
    <w:rsid w:val="00BE579D"/>
    <w:rsid w:val="00C24E44"/>
    <w:rsid w:val="00C32C97"/>
    <w:rsid w:val="00C452F2"/>
    <w:rsid w:val="00C50DD3"/>
    <w:rsid w:val="00C573FD"/>
    <w:rsid w:val="00D22E5C"/>
    <w:rsid w:val="00DA204C"/>
    <w:rsid w:val="00E86FF2"/>
    <w:rsid w:val="00E909CF"/>
    <w:rsid w:val="00E91523"/>
    <w:rsid w:val="00EC38D9"/>
    <w:rsid w:val="00F60204"/>
    <w:rsid w:val="00F82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523"/>
    <w:pPr>
      <w:widowControl w:val="0"/>
    </w:pPr>
    <w:rPr>
      <w:snapToGrid w:val="0"/>
      <w:sz w:val="24"/>
    </w:rPr>
  </w:style>
  <w:style w:type="paragraph" w:styleId="Heading1">
    <w:name w:val="heading 1"/>
    <w:basedOn w:val="Normal"/>
    <w:next w:val="Normal"/>
    <w:qFormat/>
    <w:rsid w:val="00E91523"/>
    <w:pPr>
      <w:keepNext/>
      <w:ind w:right="-720"/>
      <w:outlineLvl w:val="0"/>
    </w:pPr>
    <w:rPr>
      <w:rFonts w:ascii="Book Antiqua" w:hAnsi="Book Antiqua"/>
      <w:b/>
      <w:u w:val="single"/>
    </w:rPr>
  </w:style>
  <w:style w:type="paragraph" w:styleId="Heading2">
    <w:name w:val="heading 2"/>
    <w:basedOn w:val="Normal"/>
    <w:next w:val="Normal"/>
    <w:qFormat/>
    <w:rsid w:val="00E91523"/>
    <w:pPr>
      <w:keepNext/>
      <w:tabs>
        <w:tab w:val="center" w:pos="1950"/>
      </w:tabs>
      <w:outlineLvl w:val="1"/>
    </w:pPr>
    <w:rPr>
      <w:b/>
    </w:rPr>
  </w:style>
  <w:style w:type="paragraph" w:styleId="Heading3">
    <w:name w:val="heading 3"/>
    <w:basedOn w:val="Normal"/>
    <w:next w:val="Normal"/>
    <w:link w:val="Heading3Char"/>
    <w:qFormat/>
    <w:rsid w:val="00E91523"/>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E91523"/>
    <w:pPr>
      <w:keepNext/>
      <w:ind w:right="-720"/>
      <w:outlineLvl w:val="3"/>
    </w:pPr>
    <w:rPr>
      <w:rFonts w:ascii="Verdana" w:hAnsi="Verdana"/>
      <w:b/>
      <w:sz w:val="22"/>
      <w:u w:val="single"/>
    </w:rPr>
  </w:style>
  <w:style w:type="paragraph" w:styleId="Heading5">
    <w:name w:val="heading 5"/>
    <w:basedOn w:val="Normal"/>
    <w:next w:val="Normal"/>
    <w:qFormat/>
    <w:rsid w:val="00E91523"/>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1523"/>
  </w:style>
  <w:style w:type="paragraph" w:customStyle="1" w:styleId="Level1">
    <w:name w:val="Level 1"/>
    <w:basedOn w:val="Normal"/>
    <w:rsid w:val="00E91523"/>
    <w:pPr>
      <w:numPr>
        <w:numId w:val="1"/>
      </w:numPr>
      <w:ind w:left="720" w:hanging="720"/>
      <w:outlineLvl w:val="0"/>
    </w:pPr>
  </w:style>
  <w:style w:type="paragraph" w:styleId="Footer">
    <w:name w:val="footer"/>
    <w:basedOn w:val="Normal"/>
    <w:rsid w:val="00E91523"/>
    <w:pPr>
      <w:tabs>
        <w:tab w:val="center" w:pos="4320"/>
        <w:tab w:val="right" w:pos="8640"/>
      </w:tabs>
    </w:pPr>
  </w:style>
  <w:style w:type="paragraph" w:styleId="Header">
    <w:name w:val="header"/>
    <w:basedOn w:val="Normal"/>
    <w:rsid w:val="00E91523"/>
    <w:pPr>
      <w:tabs>
        <w:tab w:val="center" w:pos="4320"/>
        <w:tab w:val="right" w:pos="8640"/>
      </w:tabs>
    </w:pPr>
  </w:style>
  <w:style w:type="character" w:styleId="PageNumber">
    <w:name w:val="page number"/>
    <w:basedOn w:val="DefaultParagraphFont"/>
    <w:rsid w:val="00E91523"/>
  </w:style>
  <w:style w:type="paragraph" w:customStyle="1" w:styleId="PPTitle">
    <w:name w:val="P&amp;PTitle"/>
    <w:basedOn w:val="Heading1"/>
    <w:rsid w:val="00E91523"/>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E91523"/>
    <w:pPr>
      <w:widowControl/>
      <w:spacing w:after="80"/>
      <w:jc w:val="center"/>
    </w:pPr>
    <w:rPr>
      <w:rFonts w:ascii="Arial Black" w:hAnsi="Arial Black"/>
      <w:sz w:val="16"/>
    </w:rPr>
  </w:style>
  <w:style w:type="paragraph" w:customStyle="1" w:styleId="Style">
    <w:name w:val="Style"/>
    <w:basedOn w:val="Normal"/>
    <w:rsid w:val="00E91523"/>
    <w:pPr>
      <w:ind w:left="720" w:hanging="720"/>
    </w:pPr>
  </w:style>
  <w:style w:type="paragraph" w:styleId="BalloonText">
    <w:name w:val="Balloon Text"/>
    <w:basedOn w:val="Normal"/>
    <w:link w:val="BalloonTextChar"/>
    <w:rsid w:val="003C64CE"/>
    <w:rPr>
      <w:rFonts w:ascii="Tahoma" w:hAnsi="Tahoma" w:cs="Tahoma"/>
      <w:sz w:val="16"/>
      <w:szCs w:val="16"/>
    </w:rPr>
  </w:style>
  <w:style w:type="character" w:customStyle="1" w:styleId="BalloonTextChar">
    <w:name w:val="Balloon Text Char"/>
    <w:basedOn w:val="DefaultParagraphFont"/>
    <w:link w:val="BalloonText"/>
    <w:rsid w:val="003C64CE"/>
    <w:rPr>
      <w:rFonts w:ascii="Tahoma" w:hAnsi="Tahoma" w:cs="Tahoma"/>
      <w:snapToGrid w:val="0"/>
      <w:sz w:val="16"/>
      <w:szCs w:val="16"/>
    </w:rPr>
  </w:style>
  <w:style w:type="character" w:customStyle="1" w:styleId="Heading3Char">
    <w:name w:val="Heading 3 Char"/>
    <w:basedOn w:val="DefaultParagraphFont"/>
    <w:link w:val="Heading3"/>
    <w:rsid w:val="00430CD0"/>
    <w:rPr>
      <w:rFonts w:ascii="Arial" w:hAnsi="Arial" w:cs="Arial"/>
      <w:b/>
      <w:bCs/>
      <w:noProof/>
      <w:spacing w:val="-1"/>
      <w:sz w:val="32"/>
      <w:szCs w:val="23"/>
    </w:rPr>
  </w:style>
</w:styles>
</file>

<file path=word/webSettings.xml><?xml version="1.0" encoding="utf-8"?>
<w:webSettings xmlns:r="http://schemas.openxmlformats.org/officeDocument/2006/relationships" xmlns:w="http://schemas.openxmlformats.org/wordprocessingml/2006/main">
  <w:divs>
    <w:div w:id="698893358">
      <w:bodyDiv w:val="1"/>
      <w:marLeft w:val="0"/>
      <w:marRight w:val="0"/>
      <w:marTop w:val="0"/>
      <w:marBottom w:val="0"/>
      <w:divBdr>
        <w:top w:val="none" w:sz="0" w:space="0" w:color="auto"/>
        <w:left w:val="none" w:sz="0" w:space="0" w:color="auto"/>
        <w:bottom w:val="none" w:sz="0" w:space="0" w:color="auto"/>
        <w:right w:val="none" w:sz="0" w:space="0" w:color="auto"/>
      </w:divBdr>
    </w:div>
    <w:div w:id="19873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MHitt</dc:creator>
  <cp:lastModifiedBy>Crystal Norwood</cp:lastModifiedBy>
  <cp:revision>7</cp:revision>
  <cp:lastPrinted>2013-03-18T22:49:00Z</cp:lastPrinted>
  <dcterms:created xsi:type="dcterms:W3CDTF">2013-08-23T19:12:00Z</dcterms:created>
  <dcterms:modified xsi:type="dcterms:W3CDTF">2015-02-04T17:08:00Z</dcterms:modified>
</cp:coreProperties>
</file>