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9"/>
        <w:gridCol w:w="2011"/>
        <w:gridCol w:w="5358"/>
      </w:tblGrid>
      <w:tr w:rsidR="00F57559" w:rsidTr="00F57559">
        <w:trPr>
          <w:cantSplit/>
          <w:trHeight w:val="265"/>
        </w:trPr>
        <w:tc>
          <w:tcPr>
            <w:tcW w:w="1467" w:type="pct"/>
            <w:vMerge w:val="restart"/>
          </w:tcPr>
          <w:p w:rsidR="00F57559" w:rsidRPr="000B7AEA" w:rsidRDefault="00F57559" w:rsidP="00F57559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b w:val="0"/>
                <w:sz w:val="22"/>
              </w:rPr>
            </w:pPr>
            <w:r>
              <w:rPr>
                <w:bCs/>
              </w:rPr>
              <w:t>Productivity Adjustments</w:t>
            </w:r>
            <w:r w:rsidRPr="000B7AEA">
              <w:br/>
            </w:r>
          </w:p>
        </w:tc>
        <w:tc>
          <w:tcPr>
            <w:tcW w:w="964" w:type="pct"/>
            <w:tcBorders>
              <w:right w:val="nil"/>
            </w:tcBorders>
          </w:tcPr>
          <w:p w:rsidR="00F57559" w:rsidRDefault="00F57559" w:rsidP="00F5755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Revision:</w:t>
            </w:r>
          </w:p>
        </w:tc>
        <w:tc>
          <w:tcPr>
            <w:tcW w:w="2569" w:type="pct"/>
            <w:tcBorders>
              <w:left w:val="nil"/>
            </w:tcBorders>
          </w:tcPr>
          <w:p w:rsidR="00F57559" w:rsidRDefault="00630C8F" w:rsidP="00630C8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2015</w:t>
            </w:r>
            <w:r w:rsidR="00F575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91E0E" w:rsidTr="00F57559">
        <w:trPr>
          <w:cantSplit/>
          <w:trHeight w:val="265"/>
        </w:trPr>
        <w:tc>
          <w:tcPr>
            <w:tcW w:w="1467" w:type="pct"/>
            <w:vMerge/>
          </w:tcPr>
          <w:p w:rsidR="00791E0E" w:rsidRDefault="00791E0E" w:rsidP="00F57559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791E0E" w:rsidRDefault="00791E0E" w:rsidP="00F57559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Reviewed:</w:t>
            </w:r>
          </w:p>
        </w:tc>
        <w:tc>
          <w:tcPr>
            <w:tcW w:w="2569" w:type="pct"/>
            <w:tcBorders>
              <w:left w:val="nil"/>
            </w:tcBorders>
          </w:tcPr>
          <w:p w:rsidR="00791E0E" w:rsidDel="00791E0E" w:rsidRDefault="00630C8F" w:rsidP="00791E0E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2015</w:t>
            </w:r>
          </w:p>
        </w:tc>
      </w:tr>
      <w:tr w:rsidR="00F57559" w:rsidTr="00F57559">
        <w:trPr>
          <w:cantSplit/>
          <w:trHeight w:val="827"/>
        </w:trPr>
        <w:tc>
          <w:tcPr>
            <w:tcW w:w="1467" w:type="pct"/>
            <w:vMerge/>
          </w:tcPr>
          <w:p w:rsidR="00F57559" w:rsidRDefault="00F57559" w:rsidP="00F57559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F57559" w:rsidRDefault="00F57559" w:rsidP="00F57559">
            <w:pPr>
              <w:snapToGrid w:val="0"/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Applies to the following THA Group of Companies: </w:t>
            </w:r>
          </w:p>
        </w:tc>
        <w:tc>
          <w:tcPr>
            <w:tcW w:w="2569" w:type="pct"/>
            <w:tcBorders>
              <w:left w:val="nil"/>
            </w:tcBorders>
          </w:tcPr>
          <w:p w:rsidR="00F57559" w:rsidRDefault="00F57559" w:rsidP="00F5755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Island Health Care</w:t>
            </w:r>
          </w:p>
          <w:p w:rsidR="00F57559" w:rsidRDefault="00F57559" w:rsidP="00F5755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Island Hospice</w:t>
            </w:r>
          </w:p>
          <w:p w:rsidR="00791E0E" w:rsidRDefault="00791E0E" w:rsidP="00F5755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RightHealth</w:t>
            </w:r>
            <w:r w:rsidR="00A13B88" w:rsidRPr="00A13B88">
              <w:rPr>
                <w:rFonts w:ascii="Arial" w:hAnsi="Arial" w:cs="Arial"/>
                <w:sz w:val="20"/>
                <w:vertAlign w:val="superscript"/>
              </w:rPr>
              <w:t>®</w:t>
            </w:r>
          </w:p>
          <w:p w:rsidR="00F57559" w:rsidRDefault="00F57559" w:rsidP="00F57559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8FD" w:rsidTr="00F57559">
        <w:trPr>
          <w:cantSplit/>
          <w:trHeight w:val="827"/>
        </w:trPr>
        <w:tc>
          <w:tcPr>
            <w:tcW w:w="1467" w:type="pct"/>
          </w:tcPr>
          <w:p w:rsidR="00F458FD" w:rsidRDefault="00F458FD" w:rsidP="00F57559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964" w:type="pct"/>
            <w:tcBorders>
              <w:right w:val="nil"/>
            </w:tcBorders>
          </w:tcPr>
          <w:p w:rsidR="00F458FD" w:rsidRDefault="00F458FD" w:rsidP="00F57559">
            <w:pPr>
              <w:snapToGrid w:val="0"/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Included in the following THA Manuals:</w:t>
            </w:r>
          </w:p>
        </w:tc>
        <w:tc>
          <w:tcPr>
            <w:tcW w:w="2569" w:type="pct"/>
            <w:tcBorders>
              <w:left w:val="nil"/>
            </w:tcBorders>
          </w:tcPr>
          <w:p w:rsidR="00F458FD" w:rsidRDefault="00F458FD" w:rsidP="00F458F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Administrative Policies &amp; Procedures</w:t>
            </w:r>
          </w:p>
          <w:p w:rsidR="00F458FD" w:rsidRDefault="00F458FD" w:rsidP="00F458F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IX - Finance</w:t>
            </w:r>
          </w:p>
        </w:tc>
      </w:tr>
    </w:tbl>
    <w:p w:rsidR="00F57559" w:rsidRDefault="00F57559" w:rsidP="00F57559">
      <w:pPr>
        <w:pStyle w:val="Heading6"/>
        <w:jc w:val="both"/>
        <w:rPr>
          <w:bCs/>
          <w:sz w:val="24"/>
        </w:rPr>
      </w:pPr>
    </w:p>
    <w:p w:rsidR="00F57559" w:rsidRDefault="00F57559" w:rsidP="00F5755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Purpose</w:t>
      </w:r>
    </w:p>
    <w:p w:rsidR="00F57559" w:rsidRDefault="00F57559" w:rsidP="00F57559">
      <w:pPr>
        <w:rPr>
          <w:rFonts w:ascii="Arial" w:hAnsi="Arial"/>
        </w:rPr>
      </w:pPr>
      <w:r>
        <w:rPr>
          <w:rFonts w:ascii="Arial" w:hAnsi="Arial"/>
        </w:rPr>
        <w:t xml:space="preserve">This policy establishes guidelines for adjusting the productivity of </w:t>
      </w:r>
      <w:r w:rsidR="00E46A19">
        <w:rPr>
          <w:rFonts w:ascii="Arial" w:hAnsi="Arial"/>
        </w:rPr>
        <w:t xml:space="preserve">per-visit </w:t>
      </w:r>
      <w:r>
        <w:rPr>
          <w:rFonts w:ascii="Arial" w:hAnsi="Arial"/>
        </w:rPr>
        <w:t>e</w:t>
      </w:r>
      <w:r w:rsidR="00E46A19">
        <w:rPr>
          <w:rFonts w:ascii="Arial" w:hAnsi="Arial"/>
        </w:rPr>
        <w:t>mployees under</w:t>
      </w:r>
      <w:r>
        <w:rPr>
          <w:rFonts w:ascii="Arial" w:hAnsi="Arial"/>
        </w:rPr>
        <w:t xml:space="preserve"> circumstances requiring extended travel to provide patient care.  The purpose of the policy is to ensure that employee</w:t>
      </w:r>
      <w:r w:rsidR="00B2057A">
        <w:rPr>
          <w:rFonts w:ascii="Arial" w:hAnsi="Arial"/>
        </w:rPr>
        <w:t xml:space="preserve">s are compensated </w:t>
      </w:r>
      <w:r w:rsidR="00E46A19">
        <w:rPr>
          <w:rFonts w:ascii="Arial" w:hAnsi="Arial"/>
        </w:rPr>
        <w:t>when</w:t>
      </w:r>
      <w:r w:rsidR="00B2057A">
        <w:rPr>
          <w:rFonts w:ascii="Arial" w:hAnsi="Arial"/>
        </w:rPr>
        <w:t xml:space="preserve"> ex</w:t>
      </w:r>
      <w:r w:rsidR="00E46A19">
        <w:rPr>
          <w:rFonts w:ascii="Arial" w:hAnsi="Arial"/>
        </w:rPr>
        <w:t>tended travel requirements may negatively impact</w:t>
      </w:r>
      <w:r w:rsidR="00B2057A">
        <w:rPr>
          <w:rFonts w:ascii="Arial" w:hAnsi="Arial"/>
        </w:rPr>
        <w:t xml:space="preserve"> productivity.</w:t>
      </w:r>
    </w:p>
    <w:p w:rsidR="00F57559" w:rsidRDefault="00F57559" w:rsidP="00F57559">
      <w:pPr>
        <w:rPr>
          <w:rFonts w:ascii="Arial" w:hAnsi="Arial"/>
        </w:rPr>
      </w:pPr>
    </w:p>
    <w:p w:rsidR="00F57559" w:rsidRDefault="00F57559" w:rsidP="00F5755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Eligibility</w:t>
      </w:r>
    </w:p>
    <w:p w:rsidR="00F57559" w:rsidRPr="00F57559" w:rsidRDefault="00F57559" w:rsidP="00F57559">
      <w:pPr>
        <w:rPr>
          <w:rFonts w:ascii="Arial" w:hAnsi="Arial"/>
        </w:rPr>
      </w:pPr>
      <w:r>
        <w:rPr>
          <w:rFonts w:ascii="Arial" w:hAnsi="Arial"/>
        </w:rPr>
        <w:t>Eligibi</w:t>
      </w:r>
      <w:r w:rsidR="00B2057A">
        <w:rPr>
          <w:rFonts w:ascii="Arial" w:hAnsi="Arial"/>
        </w:rPr>
        <w:t>lity is limited to</w:t>
      </w:r>
      <w:r>
        <w:rPr>
          <w:rFonts w:ascii="Arial" w:hAnsi="Arial"/>
        </w:rPr>
        <w:t xml:space="preserve"> employees who are compensated on a per-visit basis.  </w:t>
      </w:r>
    </w:p>
    <w:p w:rsidR="00F57559" w:rsidRDefault="00F57559" w:rsidP="00F57559">
      <w:pPr>
        <w:rPr>
          <w:rFonts w:ascii="Arial" w:hAnsi="Arial"/>
          <w:sz w:val="32"/>
        </w:rPr>
      </w:pPr>
    </w:p>
    <w:p w:rsidR="00F57559" w:rsidRPr="00F57559" w:rsidRDefault="00F57559" w:rsidP="00F57559">
      <w:pPr>
        <w:rPr>
          <w:rFonts w:ascii="Arial" w:hAnsi="Arial"/>
          <w:b/>
          <w:u w:val="single"/>
        </w:rPr>
      </w:pPr>
      <w:r w:rsidRPr="00F57559">
        <w:rPr>
          <w:rFonts w:ascii="Arial" w:hAnsi="Arial"/>
          <w:b/>
          <w:u w:val="single"/>
        </w:rPr>
        <w:t>Policy</w:t>
      </w:r>
    </w:p>
    <w:p w:rsidR="002F2254" w:rsidRDefault="002F2254">
      <w:pPr>
        <w:ind w:left="720"/>
        <w:rPr>
          <w:rFonts w:ascii="Arial" w:hAnsi="Arial"/>
        </w:rPr>
      </w:pPr>
    </w:p>
    <w:p w:rsidR="00092887" w:rsidRDefault="00092887">
      <w:pPr>
        <w:rPr>
          <w:rFonts w:ascii="Arial" w:hAnsi="Arial"/>
        </w:rPr>
      </w:pPr>
      <w:r>
        <w:rPr>
          <w:rFonts w:ascii="Arial" w:hAnsi="Arial"/>
        </w:rPr>
        <w:t xml:space="preserve">Qualified employees whose </w:t>
      </w:r>
      <w:r w:rsidR="00F90830">
        <w:rPr>
          <w:rFonts w:ascii="Arial" w:hAnsi="Arial"/>
        </w:rPr>
        <w:t xml:space="preserve">patient care-related </w:t>
      </w:r>
      <w:r>
        <w:rPr>
          <w:rFonts w:ascii="Arial" w:hAnsi="Arial"/>
        </w:rPr>
        <w:t xml:space="preserve">mileage meets or exceeds125 miles per day will be compensated for 1 (one) additional routine visit.  To qualify, the mileage must be directly associated with assigned patient care, calculated </w:t>
      </w:r>
      <w:r w:rsidR="00F90830">
        <w:rPr>
          <w:rFonts w:ascii="Arial" w:hAnsi="Arial"/>
        </w:rPr>
        <w:t xml:space="preserve">as </w:t>
      </w:r>
      <w:r>
        <w:rPr>
          <w:rFonts w:ascii="Arial" w:hAnsi="Arial"/>
        </w:rPr>
        <w:t>per the company’s mileage reimbursement policy.</w:t>
      </w:r>
    </w:p>
    <w:p w:rsidR="00092887" w:rsidRDefault="00092887">
      <w:pPr>
        <w:rPr>
          <w:rFonts w:ascii="Arial" w:hAnsi="Arial"/>
        </w:rPr>
      </w:pPr>
    </w:p>
    <w:p w:rsidR="00376959" w:rsidRDefault="00E46A19" w:rsidP="00376959">
      <w:pPr>
        <w:rPr>
          <w:rFonts w:ascii="Arial" w:hAnsi="Arial"/>
        </w:rPr>
      </w:pPr>
      <w:r>
        <w:rPr>
          <w:rFonts w:ascii="Arial" w:hAnsi="Arial"/>
        </w:rPr>
        <w:t xml:space="preserve">All productivity adjustments must be recorded on the </w:t>
      </w:r>
      <w:r>
        <w:rPr>
          <w:rFonts w:ascii="Arial" w:hAnsi="Arial"/>
          <w:i/>
        </w:rPr>
        <w:t xml:space="preserve">Productivity Adjustment Form </w:t>
      </w:r>
      <w:r>
        <w:rPr>
          <w:rFonts w:ascii="Arial" w:hAnsi="Arial"/>
        </w:rPr>
        <w:t xml:space="preserve">and must have signed approval </w:t>
      </w:r>
      <w:r w:rsidR="00F90830">
        <w:rPr>
          <w:rFonts w:ascii="Arial" w:hAnsi="Arial"/>
        </w:rPr>
        <w:t xml:space="preserve">from a Vice President </w:t>
      </w:r>
      <w:r>
        <w:rPr>
          <w:rFonts w:ascii="Arial" w:hAnsi="Arial"/>
        </w:rPr>
        <w:t xml:space="preserve">prior to submitting to Payroll.  To ensure credit, approved </w:t>
      </w:r>
      <w:r w:rsidRPr="00E46A19">
        <w:rPr>
          <w:rFonts w:ascii="Arial" w:hAnsi="Arial"/>
          <w:i/>
        </w:rPr>
        <w:t>Productivity Adjustment Forms</w:t>
      </w:r>
      <w:r>
        <w:rPr>
          <w:rFonts w:ascii="Arial" w:hAnsi="Arial"/>
        </w:rPr>
        <w:t xml:space="preserve"> should be submitted at the close of each payroll in conjunction with timesheets.</w:t>
      </w:r>
    </w:p>
    <w:p w:rsidR="00F90830" w:rsidRDefault="00F90830" w:rsidP="00376959">
      <w:pPr>
        <w:rPr>
          <w:rFonts w:ascii="Arial" w:hAnsi="Arial"/>
        </w:rPr>
      </w:pPr>
    </w:p>
    <w:p w:rsidR="00F90830" w:rsidRDefault="00F90830" w:rsidP="00376959">
      <w:pPr>
        <w:rPr>
          <w:rFonts w:ascii="Arial" w:hAnsi="Arial"/>
        </w:rPr>
      </w:pPr>
      <w:r>
        <w:rPr>
          <w:rFonts w:ascii="Arial" w:hAnsi="Arial"/>
        </w:rPr>
        <w:t>As with all reported mileage, Productivity Adjustment requests are subject to audit to ensure accuracy.</w:t>
      </w:r>
    </w:p>
    <w:p w:rsidR="00327D5D" w:rsidRDefault="00327D5D" w:rsidP="00376959">
      <w:pPr>
        <w:rPr>
          <w:rFonts w:ascii="Arial" w:hAnsi="Arial"/>
          <w:sz w:val="32"/>
        </w:rPr>
      </w:pPr>
    </w:p>
    <w:p w:rsidR="00376959" w:rsidRPr="00F62B53" w:rsidRDefault="00376959" w:rsidP="0037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</w:rPr>
      </w:pPr>
      <w:r w:rsidRPr="00F62B53">
        <w:rPr>
          <w:rFonts w:ascii="Arial" w:hAnsi="Arial"/>
          <w:b/>
          <w:sz w:val="32"/>
        </w:rPr>
        <w:t xml:space="preserve">NOTE: </w:t>
      </w:r>
    </w:p>
    <w:p w:rsidR="00376959" w:rsidRPr="00F62B53" w:rsidRDefault="00147295" w:rsidP="0037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Productivity Adjustments are</w:t>
      </w:r>
      <w:r w:rsidR="00376959" w:rsidRPr="00F62B53">
        <w:rPr>
          <w:rFonts w:ascii="Arial" w:hAnsi="Arial"/>
          <w:b/>
          <w:sz w:val="32"/>
        </w:rPr>
        <w:t xml:space="preserve"> limited to once per day.</w:t>
      </w:r>
    </w:p>
    <w:p w:rsidR="00F57559" w:rsidRDefault="00F57559"/>
    <w:sectPr w:rsidR="00F57559" w:rsidSect="008732C9">
      <w:footerReference w:type="default" r:id="rId7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19" w:rsidRDefault="007E4719" w:rsidP="00584018">
      <w:r>
        <w:separator/>
      </w:r>
    </w:p>
  </w:endnote>
  <w:endnote w:type="continuationSeparator" w:id="0">
    <w:p w:rsidR="007E4719" w:rsidRDefault="007E4719" w:rsidP="0058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8F" w:rsidRDefault="00A13B88">
    <w:pPr>
      <w:pStyle w:val="Footer"/>
      <w:rPr>
        <w:rFonts w:ascii="Arial" w:hAnsi="Arial" w:cs="Arial"/>
        <w:sz w:val="16"/>
        <w:szCs w:val="16"/>
      </w:rPr>
    </w:pPr>
    <w:fldSimple w:instr=" FILENAME  \p  \* MERGEFORMAT ">
      <w:r w:rsidR="008C3FF0" w:rsidRPr="00630C8F">
        <w:rPr>
          <w:rFonts w:ascii="Arial" w:hAnsi="Arial" w:cs="Arial"/>
          <w:noProof/>
          <w:sz w:val="16"/>
          <w:szCs w:val="16"/>
        </w:rPr>
        <w:t>G:\Policy and Procedures\Administrative Policy and Procedure Manual\IX. Finance\Productivity Adjustments.docx</w:t>
      </w:r>
    </w:fldSimple>
  </w:p>
  <w:p w:rsidR="008C3FF0" w:rsidRPr="00630C8F" w:rsidRDefault="00A13B88">
    <w:pPr>
      <w:pStyle w:val="Footer"/>
      <w:rPr>
        <w:rFonts w:ascii="Arial" w:hAnsi="Arial" w:cs="Arial"/>
        <w:sz w:val="16"/>
        <w:szCs w:val="16"/>
      </w:rPr>
    </w:pPr>
    <w:r w:rsidRPr="00630C8F">
      <w:rPr>
        <w:rFonts w:ascii="Arial" w:hAnsi="Arial" w:cs="Arial"/>
        <w:sz w:val="16"/>
        <w:szCs w:val="16"/>
      </w:rPr>
      <w:fldChar w:fldCharType="begin"/>
    </w:r>
    <w:r w:rsidRPr="00630C8F">
      <w:rPr>
        <w:rFonts w:ascii="Arial" w:hAnsi="Arial" w:cs="Arial"/>
        <w:sz w:val="16"/>
        <w:szCs w:val="16"/>
      </w:rPr>
      <w:instrText xml:space="preserve"> DATE \@ "M/d/yyyy" </w:instrText>
    </w:r>
    <w:r w:rsidRPr="00630C8F">
      <w:rPr>
        <w:rFonts w:ascii="Arial" w:hAnsi="Arial" w:cs="Arial"/>
        <w:sz w:val="16"/>
        <w:szCs w:val="16"/>
      </w:rPr>
      <w:fldChar w:fldCharType="separate"/>
    </w:r>
    <w:r w:rsidR="00630C8F" w:rsidRPr="00630C8F">
      <w:rPr>
        <w:rFonts w:ascii="Arial" w:hAnsi="Arial" w:cs="Arial"/>
        <w:noProof/>
        <w:sz w:val="16"/>
        <w:szCs w:val="16"/>
      </w:rPr>
      <w:t>1/28/2015</w:t>
    </w:r>
    <w:r w:rsidRPr="00630C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19" w:rsidRDefault="007E4719" w:rsidP="00584018">
      <w:r>
        <w:separator/>
      </w:r>
    </w:p>
  </w:footnote>
  <w:footnote w:type="continuationSeparator" w:id="0">
    <w:p w:rsidR="007E4719" w:rsidRDefault="007E4719" w:rsidP="00584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72B"/>
    <w:multiLevelType w:val="hybridMultilevel"/>
    <w:tmpl w:val="1B80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238"/>
    <w:multiLevelType w:val="hybridMultilevel"/>
    <w:tmpl w:val="7C4CE152"/>
    <w:lvl w:ilvl="0" w:tplc="3BF6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F369B1"/>
    <w:multiLevelType w:val="hybridMultilevel"/>
    <w:tmpl w:val="0E8A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0511"/>
    <w:multiLevelType w:val="hybridMultilevel"/>
    <w:tmpl w:val="FA9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959"/>
    <w:rsid w:val="00034262"/>
    <w:rsid w:val="00077DC9"/>
    <w:rsid w:val="00092887"/>
    <w:rsid w:val="000C6E3D"/>
    <w:rsid w:val="00147295"/>
    <w:rsid w:val="002263D8"/>
    <w:rsid w:val="00266F43"/>
    <w:rsid w:val="002C7906"/>
    <w:rsid w:val="002D57D2"/>
    <w:rsid w:val="002F2254"/>
    <w:rsid w:val="00327D5D"/>
    <w:rsid w:val="00333579"/>
    <w:rsid w:val="00367346"/>
    <w:rsid w:val="00376959"/>
    <w:rsid w:val="003F1DE8"/>
    <w:rsid w:val="004042C7"/>
    <w:rsid w:val="0050445A"/>
    <w:rsid w:val="00512462"/>
    <w:rsid w:val="00584018"/>
    <w:rsid w:val="005C4DF0"/>
    <w:rsid w:val="005F40E2"/>
    <w:rsid w:val="00630C8F"/>
    <w:rsid w:val="00731684"/>
    <w:rsid w:val="00791E0E"/>
    <w:rsid w:val="007E4719"/>
    <w:rsid w:val="00804D5A"/>
    <w:rsid w:val="008732C9"/>
    <w:rsid w:val="008C3FF0"/>
    <w:rsid w:val="009064E8"/>
    <w:rsid w:val="00A04737"/>
    <w:rsid w:val="00A13B88"/>
    <w:rsid w:val="00A90179"/>
    <w:rsid w:val="00A9059D"/>
    <w:rsid w:val="00AC2155"/>
    <w:rsid w:val="00B2057A"/>
    <w:rsid w:val="00B41BD0"/>
    <w:rsid w:val="00B454E6"/>
    <w:rsid w:val="00B77B85"/>
    <w:rsid w:val="00B828A5"/>
    <w:rsid w:val="00BE1F50"/>
    <w:rsid w:val="00C00A6E"/>
    <w:rsid w:val="00C72240"/>
    <w:rsid w:val="00D114EC"/>
    <w:rsid w:val="00D46164"/>
    <w:rsid w:val="00E37182"/>
    <w:rsid w:val="00E46A19"/>
    <w:rsid w:val="00EB5A74"/>
    <w:rsid w:val="00EF5DF3"/>
    <w:rsid w:val="00F458FD"/>
    <w:rsid w:val="00F57559"/>
    <w:rsid w:val="00F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559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57559"/>
    <w:pPr>
      <w:keepNext/>
      <w:widowControl w:val="0"/>
      <w:spacing w:before="40" w:after="40"/>
      <w:outlineLvl w:val="5"/>
    </w:pPr>
    <w:rPr>
      <w:rFonts w:ascii="Arial" w:hAnsi="Arial" w:cs="Arial"/>
      <w:b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559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57559"/>
    <w:rPr>
      <w:rFonts w:ascii="Arial" w:eastAsia="Times New Roman" w:hAnsi="Arial" w:cs="Arial"/>
      <w:b/>
      <w:snapToGrid w:val="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0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0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 Group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Crystal Norwood</cp:lastModifiedBy>
  <cp:revision>2</cp:revision>
  <cp:lastPrinted>2014-08-15T20:09:00Z</cp:lastPrinted>
  <dcterms:created xsi:type="dcterms:W3CDTF">2015-01-28T16:01:00Z</dcterms:created>
  <dcterms:modified xsi:type="dcterms:W3CDTF">2015-01-28T16:01:00Z</dcterms:modified>
</cp:coreProperties>
</file>